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301"/>
        <w:gridCol w:w="1994"/>
        <w:gridCol w:w="1994"/>
      </w:tblGrid>
      <w:tr w:rsidR="003D432F" w:rsidRPr="0037508E" w14:paraId="50935D74" w14:textId="77777777" w:rsidTr="00204F46">
        <w:trPr>
          <w:trHeight w:val="465"/>
          <w:jc w:val="center"/>
        </w:trPr>
        <w:tc>
          <w:tcPr>
            <w:tcW w:w="1502" w:type="pct"/>
            <w:vAlign w:val="center"/>
          </w:tcPr>
          <w:p w14:paraId="5A531791" w14:textId="77777777" w:rsidR="003D432F" w:rsidRPr="0037508E" w:rsidRDefault="003D432F" w:rsidP="00C821A7">
            <w:pPr>
              <w:spacing w:after="0"/>
            </w:pPr>
            <w:r w:rsidRPr="0037508E">
              <w:t>The Author/Owner of this document is:</w:t>
            </w:r>
          </w:p>
        </w:tc>
        <w:tc>
          <w:tcPr>
            <w:tcW w:w="1584" w:type="pct"/>
            <w:vAlign w:val="center"/>
          </w:tcPr>
          <w:p w14:paraId="40BBF702" w14:textId="77777777" w:rsidR="003D432F" w:rsidRPr="0037508E" w:rsidRDefault="003D432F" w:rsidP="00C821A7">
            <w:pPr>
              <w:spacing w:after="0"/>
            </w:pPr>
            <w:r w:rsidRPr="0037508E">
              <w:t>This document has been approved</w:t>
            </w:r>
            <w:r w:rsidR="00204F46">
              <w:t xml:space="preserve"> </w:t>
            </w:r>
            <w:r w:rsidRPr="0037508E">
              <w:t>for issue by:</w:t>
            </w:r>
          </w:p>
        </w:tc>
        <w:tc>
          <w:tcPr>
            <w:tcW w:w="957" w:type="pct"/>
            <w:vAlign w:val="center"/>
          </w:tcPr>
          <w:p w14:paraId="05FFDFB2" w14:textId="77777777" w:rsidR="003D432F" w:rsidRPr="0037508E" w:rsidRDefault="003D432F" w:rsidP="00C821A7">
            <w:pPr>
              <w:spacing w:after="0"/>
            </w:pPr>
            <w:r w:rsidRPr="0037508E">
              <w:t>Date of Issue</w:t>
            </w:r>
            <w:r w:rsidR="00FE77E5">
              <w:t>:</w:t>
            </w:r>
          </w:p>
        </w:tc>
        <w:tc>
          <w:tcPr>
            <w:tcW w:w="957" w:type="pct"/>
            <w:vAlign w:val="center"/>
          </w:tcPr>
          <w:p w14:paraId="44356C95" w14:textId="77777777" w:rsidR="003D432F" w:rsidRPr="0037508E" w:rsidRDefault="003D432F" w:rsidP="00C821A7">
            <w:pPr>
              <w:spacing w:after="0"/>
            </w:pPr>
            <w:r w:rsidRPr="0037508E">
              <w:t>Review Date:</w:t>
            </w:r>
          </w:p>
        </w:tc>
      </w:tr>
      <w:tr w:rsidR="003D432F" w:rsidRPr="0037508E" w14:paraId="7B818A38" w14:textId="77777777" w:rsidTr="00204F46">
        <w:trPr>
          <w:trHeight w:val="465"/>
          <w:jc w:val="center"/>
        </w:trPr>
        <w:tc>
          <w:tcPr>
            <w:tcW w:w="1502" w:type="pct"/>
            <w:vAlign w:val="center"/>
          </w:tcPr>
          <w:p w14:paraId="4075165D" w14:textId="77777777" w:rsidR="003D432F" w:rsidRPr="0037508E" w:rsidRDefault="00C821A7" w:rsidP="00C821A7">
            <w:pPr>
              <w:spacing w:after="0"/>
            </w:pPr>
            <w:r>
              <w:t>Peter Lawns</w:t>
            </w:r>
            <w:r w:rsidR="00A52858">
              <w:t xml:space="preserve"> on behalf of the Audit Committee</w:t>
            </w:r>
          </w:p>
        </w:tc>
        <w:tc>
          <w:tcPr>
            <w:tcW w:w="1584" w:type="pct"/>
            <w:vAlign w:val="center"/>
          </w:tcPr>
          <w:p w14:paraId="66E7C4DA" w14:textId="77777777" w:rsidR="003D432F" w:rsidRPr="0037508E" w:rsidRDefault="00A52858" w:rsidP="00C821A7">
            <w:pPr>
              <w:spacing w:after="0"/>
            </w:pPr>
            <w:r>
              <w:t>SSE Plc Board</w:t>
            </w:r>
          </w:p>
        </w:tc>
        <w:tc>
          <w:tcPr>
            <w:tcW w:w="957" w:type="pct"/>
            <w:vAlign w:val="center"/>
          </w:tcPr>
          <w:p w14:paraId="6477BB94" w14:textId="392E75B1" w:rsidR="003D432F" w:rsidRPr="0037508E" w:rsidRDefault="003A5240" w:rsidP="00C821A7">
            <w:pPr>
              <w:spacing w:after="0"/>
            </w:pPr>
            <w:r>
              <w:t>March 2023</w:t>
            </w:r>
          </w:p>
        </w:tc>
        <w:tc>
          <w:tcPr>
            <w:tcW w:w="957" w:type="pct"/>
            <w:vAlign w:val="center"/>
          </w:tcPr>
          <w:p w14:paraId="60641B8B" w14:textId="2B62A015" w:rsidR="003D432F" w:rsidRPr="0037508E" w:rsidRDefault="003A5240" w:rsidP="00C821A7">
            <w:pPr>
              <w:spacing w:after="0"/>
            </w:pPr>
            <w:r>
              <w:t>March 2025</w:t>
            </w:r>
          </w:p>
        </w:tc>
      </w:tr>
    </w:tbl>
    <w:p w14:paraId="33A087AC" w14:textId="77777777" w:rsidR="00E21CA5" w:rsidRDefault="00C821A7" w:rsidP="00C821A7">
      <w:pPr>
        <w:pStyle w:val="Heading2"/>
        <w:numPr>
          <w:ilvl w:val="0"/>
          <w:numId w:val="0"/>
        </w:numPr>
      </w:pPr>
      <w:r>
        <w:t>1.</w:t>
      </w:r>
      <w:r>
        <w:tab/>
        <w:t>INTRODUCTION</w:t>
      </w:r>
    </w:p>
    <w:p w14:paraId="308198BE" w14:textId="77777777" w:rsidR="00C821A7" w:rsidRPr="000049BE" w:rsidRDefault="00C821A7" w:rsidP="006268D2">
      <w:pPr>
        <w:jc w:val="both"/>
        <w:rPr>
          <w:szCs w:val="20"/>
          <w:lang w:val="en-GB"/>
        </w:rPr>
      </w:pPr>
      <w:r>
        <w:rPr>
          <w:lang w:val="en-GB"/>
        </w:rPr>
        <w:t xml:space="preserve">This </w:t>
      </w:r>
      <w:r w:rsidR="00FA297B">
        <w:rPr>
          <w:lang w:val="en-GB"/>
        </w:rPr>
        <w:t>procedure</w:t>
      </w:r>
      <w:r>
        <w:rPr>
          <w:lang w:val="en-GB"/>
        </w:rPr>
        <w:t xml:space="preserve"> aims to assist the Audit Committee discharge its responsibility for monitoring and reviewing the indep</w:t>
      </w:r>
      <w:r w:rsidR="00596CD3">
        <w:rPr>
          <w:lang w:val="en-GB"/>
        </w:rPr>
        <w:t>endence and objectivity of the External A</w:t>
      </w:r>
      <w:r>
        <w:rPr>
          <w:lang w:val="en-GB"/>
        </w:rPr>
        <w:t xml:space="preserve">uditor by outlining the work that can be performed by the External Auditor and related procedures for assigning such work. Recognising that the external audit contract </w:t>
      </w:r>
      <w:r w:rsidR="00EA5BCD">
        <w:rPr>
          <w:lang w:val="en-GB"/>
        </w:rPr>
        <w:t>is</w:t>
      </w:r>
      <w:r>
        <w:rPr>
          <w:lang w:val="en-GB"/>
        </w:rPr>
        <w:t xml:space="preserve"> subject to mandatory rotation from time-to-time, together with the lead time to ensure that potential audit firms are not restricted in their ability to tender for the external audit contract, this </w:t>
      </w:r>
      <w:r w:rsidR="00FA297B">
        <w:rPr>
          <w:lang w:val="en-GB"/>
        </w:rPr>
        <w:t>Procedure</w:t>
      </w:r>
      <w:r>
        <w:rPr>
          <w:lang w:val="en-GB"/>
        </w:rPr>
        <w:t xml:space="preserve"> also describes the approval process for non-audit services delivered by any other audit firm</w:t>
      </w:r>
      <w:r w:rsidR="0055526A">
        <w:rPr>
          <w:lang w:val="en-GB"/>
        </w:rPr>
        <w:t xml:space="preserve">. A shorter list of </w:t>
      </w:r>
      <w:r w:rsidR="001D0852">
        <w:rPr>
          <w:lang w:val="en-GB"/>
        </w:rPr>
        <w:t>P</w:t>
      </w:r>
      <w:r w:rsidR="0055526A">
        <w:rPr>
          <w:lang w:val="en-GB"/>
        </w:rPr>
        <w:t xml:space="preserve">ermitted </w:t>
      </w:r>
      <w:r w:rsidR="001D0852">
        <w:rPr>
          <w:lang w:val="en-GB"/>
        </w:rPr>
        <w:t>Non-Audit Services</w:t>
      </w:r>
      <w:r w:rsidR="0055526A">
        <w:rPr>
          <w:lang w:val="en-GB"/>
        </w:rPr>
        <w:t xml:space="preserve"> is set out in </w:t>
      </w:r>
      <w:r w:rsidR="0055526A" w:rsidRPr="0055526A">
        <w:rPr>
          <w:b/>
          <w:lang w:val="en-GB"/>
        </w:rPr>
        <w:t>Appendix 1</w:t>
      </w:r>
      <w:r w:rsidR="0055526A">
        <w:rPr>
          <w:lang w:val="en-GB"/>
        </w:rPr>
        <w:t>.</w:t>
      </w:r>
    </w:p>
    <w:p w14:paraId="76CD80E5" w14:textId="77777777" w:rsidR="00C821A7" w:rsidRDefault="00C821A7" w:rsidP="00C821A7">
      <w:pPr>
        <w:pStyle w:val="Heading2"/>
        <w:numPr>
          <w:ilvl w:val="0"/>
          <w:numId w:val="0"/>
        </w:numPr>
      </w:pPr>
      <w:r>
        <w:t>2.</w:t>
      </w:r>
      <w:r>
        <w:tab/>
        <w:t xml:space="preserve">CATEGORIES OF </w:t>
      </w:r>
      <w:r w:rsidR="005A7640">
        <w:t xml:space="preserve">AUDIT-RELATED AND </w:t>
      </w:r>
      <w:r>
        <w:t xml:space="preserve">NON-AUDIT </w:t>
      </w:r>
      <w:r w:rsidR="006A2D7F">
        <w:t xml:space="preserve">SERVICES </w:t>
      </w:r>
      <w:r>
        <w:t>AND APPROVAL REQUIREMENTS</w:t>
      </w:r>
    </w:p>
    <w:p w14:paraId="44D6C328" w14:textId="77777777" w:rsidR="00846F95" w:rsidRPr="00846F95" w:rsidRDefault="00846F95" w:rsidP="00846F95">
      <w:pPr>
        <w:jc w:val="both"/>
        <w:rPr>
          <w:szCs w:val="20"/>
          <w:lang w:val="en-GB"/>
        </w:rPr>
      </w:pPr>
      <w:r>
        <w:rPr>
          <w:lang w:val="en-GB"/>
        </w:rPr>
        <w:t xml:space="preserve">The FRC’s whitelist of </w:t>
      </w:r>
      <w:r w:rsidR="001D0852">
        <w:rPr>
          <w:lang w:val="en-GB"/>
        </w:rPr>
        <w:t xml:space="preserve">Permitted </w:t>
      </w:r>
      <w:r>
        <w:rPr>
          <w:lang w:val="en-GB"/>
        </w:rPr>
        <w:t>Audit-Related and Non-</w:t>
      </w:r>
      <w:r w:rsidR="000049BE">
        <w:rPr>
          <w:lang w:val="en-GB"/>
        </w:rPr>
        <w:t>Audit</w:t>
      </w:r>
      <w:r>
        <w:rPr>
          <w:lang w:val="en-GB"/>
        </w:rPr>
        <w:t xml:space="preserve"> services set out in </w:t>
      </w:r>
      <w:r w:rsidRPr="00FC1E23">
        <w:rPr>
          <w:b/>
          <w:lang w:val="en-GB"/>
        </w:rPr>
        <w:t>Appendix 1</w:t>
      </w:r>
      <w:r>
        <w:rPr>
          <w:lang w:val="en-GB"/>
        </w:rPr>
        <w:t xml:space="preserve"> describes the nature of all services that can b</w:t>
      </w:r>
      <w:r w:rsidRPr="00846F95">
        <w:rPr>
          <w:szCs w:val="20"/>
          <w:lang w:val="en-GB"/>
        </w:rPr>
        <w:t xml:space="preserve">e provided by the external auditor if approved by the Audit Committee. Any Audit-Related Service or Non-Audit Service which is not on the list can not be provided by the external auditor. </w:t>
      </w:r>
    </w:p>
    <w:p w14:paraId="488D1F6E" w14:textId="27172E1F" w:rsidR="00C67D3B" w:rsidRDefault="00846F95" w:rsidP="00C67D3B">
      <w:pPr>
        <w:numPr>
          <w:ilvl w:val="0"/>
          <w:numId w:val="20"/>
        </w:numPr>
        <w:autoSpaceDE w:val="0"/>
        <w:autoSpaceDN w:val="0"/>
        <w:adjustRightInd w:val="0"/>
        <w:spacing w:after="0"/>
        <w:jc w:val="both"/>
        <w:rPr>
          <w:rFonts w:cs="Calibri"/>
          <w:szCs w:val="20"/>
          <w:lang w:val="en-GB" w:eastAsia="en-GB"/>
        </w:rPr>
      </w:pPr>
      <w:r w:rsidRPr="00846F95">
        <w:rPr>
          <w:rFonts w:cs="Calibri"/>
          <w:b/>
          <w:szCs w:val="20"/>
          <w:lang w:val="en-GB" w:eastAsia="en-GB"/>
        </w:rPr>
        <w:t>Audit related services</w:t>
      </w:r>
      <w:r w:rsidRPr="00846F95">
        <w:rPr>
          <w:rFonts w:cs="Calibri"/>
          <w:szCs w:val="20"/>
          <w:lang w:val="en-GB" w:eastAsia="en-GB"/>
        </w:rPr>
        <w:t xml:space="preserve"> are those </w:t>
      </w:r>
      <w:r w:rsidRPr="00846F95">
        <w:rPr>
          <w:rFonts w:cs="Calibri"/>
          <w:iCs/>
          <w:szCs w:val="20"/>
          <w:lang w:val="en-GB" w:eastAsia="en-GB"/>
        </w:rPr>
        <w:t>non-audit services</w:t>
      </w:r>
      <w:r w:rsidRPr="00846F95">
        <w:rPr>
          <w:rFonts w:cs="Calibri"/>
          <w:i/>
          <w:iCs/>
          <w:szCs w:val="20"/>
          <w:lang w:val="en-GB" w:eastAsia="en-GB"/>
        </w:rPr>
        <w:t xml:space="preserve"> </w:t>
      </w:r>
      <w:r w:rsidRPr="00846F95">
        <w:rPr>
          <w:rFonts w:cs="Calibri"/>
          <w:szCs w:val="20"/>
          <w:lang w:val="en-GB" w:eastAsia="en-GB"/>
        </w:rPr>
        <w:t xml:space="preserve">that are largely carried out by members of the </w:t>
      </w:r>
      <w:r w:rsidRPr="00846F95">
        <w:rPr>
          <w:rFonts w:cs="Calibri"/>
          <w:iCs/>
          <w:szCs w:val="20"/>
          <w:lang w:val="en-GB" w:eastAsia="en-GB"/>
        </w:rPr>
        <w:t>audit engagement</w:t>
      </w:r>
      <w:r w:rsidRPr="00846F95">
        <w:rPr>
          <w:rFonts w:cs="Calibri"/>
          <w:szCs w:val="20"/>
          <w:lang w:val="en-GB" w:eastAsia="en-GB"/>
        </w:rPr>
        <w:t xml:space="preserve"> </w:t>
      </w:r>
      <w:r w:rsidRPr="00846F95">
        <w:rPr>
          <w:rFonts w:cs="Calibri"/>
          <w:iCs/>
          <w:szCs w:val="20"/>
          <w:lang w:val="en-GB" w:eastAsia="en-GB"/>
        </w:rPr>
        <w:t>team</w:t>
      </w:r>
      <w:r>
        <w:rPr>
          <w:rFonts w:cs="Calibri"/>
          <w:szCs w:val="20"/>
          <w:lang w:val="en-GB" w:eastAsia="en-GB"/>
        </w:rPr>
        <w:t>.</w:t>
      </w:r>
      <w:r w:rsidRPr="00846F95">
        <w:rPr>
          <w:rFonts w:cs="Calibri"/>
          <w:szCs w:val="20"/>
          <w:lang w:val="en-GB" w:eastAsia="en-GB"/>
        </w:rPr>
        <w:t xml:space="preserve"> </w:t>
      </w:r>
      <w:r>
        <w:rPr>
          <w:rFonts w:cs="Calibri"/>
          <w:szCs w:val="20"/>
          <w:lang w:val="en-GB" w:eastAsia="en-GB"/>
        </w:rPr>
        <w:t>T</w:t>
      </w:r>
      <w:r w:rsidRPr="00846F95">
        <w:rPr>
          <w:rFonts w:cs="Calibri"/>
          <w:szCs w:val="20"/>
          <w:lang w:val="en-GB" w:eastAsia="en-GB"/>
        </w:rPr>
        <w:t xml:space="preserve">he work involved is closely related to the work performed in the audit and the threats to auditor independence are </w:t>
      </w:r>
      <w:r>
        <w:rPr>
          <w:rFonts w:cs="Calibri"/>
          <w:szCs w:val="20"/>
          <w:lang w:val="en-GB" w:eastAsia="en-GB"/>
        </w:rPr>
        <w:t>‘</w:t>
      </w:r>
      <w:r w:rsidRPr="00846F95">
        <w:rPr>
          <w:rFonts w:cs="Calibri"/>
          <w:szCs w:val="20"/>
          <w:lang w:val="en-GB" w:eastAsia="en-GB"/>
        </w:rPr>
        <w:t>clearly insignificant</w:t>
      </w:r>
      <w:r>
        <w:rPr>
          <w:rFonts w:cs="Calibri"/>
          <w:szCs w:val="20"/>
          <w:lang w:val="en-GB" w:eastAsia="en-GB"/>
        </w:rPr>
        <w:t xml:space="preserve">’. </w:t>
      </w:r>
      <w:r w:rsidRPr="00846F95">
        <w:rPr>
          <w:szCs w:val="20"/>
          <w:lang w:val="en-GB"/>
        </w:rPr>
        <w:t xml:space="preserve">Such engagements </w:t>
      </w:r>
      <w:r w:rsidR="00FF4461">
        <w:rPr>
          <w:szCs w:val="20"/>
          <w:lang w:val="en-GB"/>
        </w:rPr>
        <w:t xml:space="preserve">are routinely </w:t>
      </w:r>
      <w:r w:rsidRPr="00846F95">
        <w:rPr>
          <w:szCs w:val="20"/>
          <w:lang w:val="en-GB"/>
        </w:rPr>
        <w:t>pre-approved by the Audit Committee as part of their approval for the total annual audit fee. Before engaging in any work of this type, approval is required from the Finance Director.</w:t>
      </w:r>
    </w:p>
    <w:p w14:paraId="18FEBABF" w14:textId="77777777" w:rsidR="00C67D3B" w:rsidRPr="00C67D3B" w:rsidRDefault="00846F95" w:rsidP="00C67D3B">
      <w:pPr>
        <w:numPr>
          <w:ilvl w:val="0"/>
          <w:numId w:val="20"/>
        </w:numPr>
        <w:autoSpaceDE w:val="0"/>
        <w:autoSpaceDN w:val="0"/>
        <w:adjustRightInd w:val="0"/>
        <w:spacing w:after="0"/>
        <w:jc w:val="both"/>
        <w:rPr>
          <w:rFonts w:cs="Calibri"/>
          <w:szCs w:val="20"/>
          <w:lang w:val="en-GB" w:eastAsia="en-GB"/>
        </w:rPr>
      </w:pPr>
      <w:r w:rsidRPr="00C67D3B">
        <w:rPr>
          <w:rFonts w:cs="Calibri"/>
          <w:b/>
          <w:szCs w:val="20"/>
          <w:lang w:eastAsia="en-GB"/>
        </w:rPr>
        <w:t>Non-Audit Services</w:t>
      </w:r>
      <w:r w:rsidRPr="00C67D3B">
        <w:rPr>
          <w:rFonts w:cs="Calibri"/>
          <w:szCs w:val="20"/>
          <w:lang w:eastAsia="en-GB"/>
        </w:rPr>
        <w:t xml:space="preserve"> are services other than ‘audit related services’ for which the external auditor is an appropriate provider, particularly where those services are required by UK law or regulation. However, the</w:t>
      </w:r>
      <w:r w:rsidRPr="00C67D3B">
        <w:rPr>
          <w:rFonts w:cs="Calibri"/>
          <w:szCs w:val="20"/>
        </w:rPr>
        <w:t xml:space="preserve"> </w:t>
      </w:r>
      <w:r w:rsidRPr="00C67D3B">
        <w:rPr>
          <w:rFonts w:cs="Calibri"/>
          <w:szCs w:val="20"/>
          <w:lang w:eastAsia="en-GB"/>
        </w:rPr>
        <w:t>threats to independence arising from such services are not necessarily ‘clearly</w:t>
      </w:r>
      <w:r w:rsidRPr="00C67D3B">
        <w:rPr>
          <w:rFonts w:cs="Calibri"/>
          <w:szCs w:val="20"/>
        </w:rPr>
        <w:t xml:space="preserve"> </w:t>
      </w:r>
      <w:r w:rsidRPr="00C67D3B">
        <w:rPr>
          <w:rFonts w:cs="Calibri"/>
          <w:szCs w:val="20"/>
          <w:lang w:eastAsia="en-GB"/>
        </w:rPr>
        <w:t xml:space="preserve">insignificant’. </w:t>
      </w:r>
      <w:proofErr w:type="gramStart"/>
      <w:r w:rsidRPr="00C67D3B">
        <w:rPr>
          <w:rFonts w:cs="Calibri"/>
          <w:szCs w:val="20"/>
          <w:lang w:eastAsia="en-GB"/>
        </w:rPr>
        <w:t>As a consequence</w:t>
      </w:r>
      <w:proofErr w:type="gramEnd"/>
      <w:r w:rsidRPr="00C67D3B">
        <w:rPr>
          <w:rFonts w:cs="Calibri"/>
          <w:szCs w:val="20"/>
          <w:lang w:eastAsia="en-GB"/>
        </w:rPr>
        <w:t xml:space="preserve">, consideration should be given to whether such services give rise to threats to independence and whether safeguards need to be applied. </w:t>
      </w:r>
      <w:r w:rsidRPr="00C67D3B">
        <w:rPr>
          <w:szCs w:val="20"/>
        </w:rPr>
        <w:t xml:space="preserve">For the avoidance of doubt, tax, consulting, </w:t>
      </w:r>
      <w:proofErr w:type="gramStart"/>
      <w:r w:rsidRPr="00C67D3B">
        <w:rPr>
          <w:szCs w:val="20"/>
        </w:rPr>
        <w:t>valuation</w:t>
      </w:r>
      <w:proofErr w:type="gramEnd"/>
      <w:r w:rsidRPr="00C67D3B">
        <w:rPr>
          <w:szCs w:val="20"/>
        </w:rPr>
        <w:t xml:space="preserve"> or corporate finance services (other than reporting accountant engagements)</w:t>
      </w:r>
      <w:r w:rsidR="0055526A" w:rsidRPr="00C67D3B">
        <w:rPr>
          <w:szCs w:val="20"/>
        </w:rPr>
        <w:t xml:space="preserve"> are not permitted</w:t>
      </w:r>
      <w:r w:rsidRPr="00C67D3B">
        <w:rPr>
          <w:szCs w:val="20"/>
        </w:rPr>
        <w:t xml:space="preserve">. </w:t>
      </w:r>
      <w:r w:rsidR="0055526A" w:rsidRPr="00C67D3B">
        <w:rPr>
          <w:szCs w:val="20"/>
        </w:rPr>
        <w:t>For</w:t>
      </w:r>
      <w:r w:rsidRPr="00C67D3B">
        <w:rPr>
          <w:szCs w:val="20"/>
        </w:rPr>
        <w:t xml:space="preserve"> service</w:t>
      </w:r>
      <w:r w:rsidR="0055526A" w:rsidRPr="00C67D3B">
        <w:rPr>
          <w:szCs w:val="20"/>
        </w:rPr>
        <w:t>s</w:t>
      </w:r>
      <w:r w:rsidRPr="00C67D3B">
        <w:rPr>
          <w:szCs w:val="20"/>
        </w:rPr>
        <w:t xml:space="preserve"> appear</w:t>
      </w:r>
      <w:r w:rsidR="0055526A" w:rsidRPr="00C67D3B">
        <w:rPr>
          <w:szCs w:val="20"/>
        </w:rPr>
        <w:t xml:space="preserve">ing </w:t>
      </w:r>
      <w:r w:rsidRPr="00C67D3B">
        <w:rPr>
          <w:szCs w:val="20"/>
        </w:rPr>
        <w:t xml:space="preserve">on the whitelist, the external auditor must still consider the threats to their independence. </w:t>
      </w:r>
      <w:r w:rsidRPr="006768D7">
        <w:t>In the absence of any apparent threat to auditor independence, approval for the provision of any non-audit service must be obtained from the Audit Committee</w:t>
      </w:r>
      <w:r w:rsidR="001406E8">
        <w:t xml:space="preserve"> using the Authorisation Request Form set out in </w:t>
      </w:r>
      <w:r w:rsidR="001406E8" w:rsidRPr="00C67D3B">
        <w:rPr>
          <w:b/>
        </w:rPr>
        <w:t>Appendix 2</w:t>
      </w:r>
      <w:r w:rsidRPr="001406E8">
        <w:t xml:space="preserve">. </w:t>
      </w:r>
    </w:p>
    <w:p w14:paraId="6008FC11" w14:textId="77777777" w:rsidR="00C67D3B" w:rsidRDefault="00C67D3B" w:rsidP="00920199">
      <w:pPr>
        <w:pStyle w:val="Heading2"/>
        <w:numPr>
          <w:ilvl w:val="0"/>
          <w:numId w:val="0"/>
        </w:numPr>
      </w:pPr>
    </w:p>
    <w:p w14:paraId="4FD81DF0" w14:textId="4E063AC2" w:rsidR="00920199" w:rsidRDefault="00920199" w:rsidP="00920199">
      <w:pPr>
        <w:pStyle w:val="Heading2"/>
        <w:numPr>
          <w:ilvl w:val="0"/>
          <w:numId w:val="0"/>
        </w:numPr>
      </w:pPr>
      <w:r>
        <w:t>3.</w:t>
      </w:r>
      <w:r>
        <w:tab/>
        <w:t>ADDITIONAL REQUIREMENTS</w:t>
      </w:r>
    </w:p>
    <w:p w14:paraId="31015D40" w14:textId="77777777" w:rsidR="00920199" w:rsidRDefault="00920199" w:rsidP="006268D2">
      <w:pPr>
        <w:jc w:val="both"/>
        <w:rPr>
          <w:lang w:val="en-GB"/>
        </w:rPr>
      </w:pPr>
      <w:r>
        <w:rPr>
          <w:lang w:val="en-GB"/>
        </w:rPr>
        <w:t>In addition to the approval requirements set out in section 2, the following additional considerations must</w:t>
      </w:r>
      <w:r w:rsidR="0055526A">
        <w:rPr>
          <w:lang w:val="en-GB"/>
        </w:rPr>
        <w:t xml:space="preserve"> also</w:t>
      </w:r>
      <w:r>
        <w:rPr>
          <w:lang w:val="en-GB"/>
        </w:rPr>
        <w:t xml:space="preserve"> be </w:t>
      </w:r>
      <w:proofErr w:type="gramStart"/>
      <w:r>
        <w:rPr>
          <w:lang w:val="en-GB"/>
        </w:rPr>
        <w:t xml:space="preserve">taken into </w:t>
      </w:r>
      <w:r w:rsidR="00930C7E">
        <w:rPr>
          <w:lang w:val="en-GB"/>
        </w:rPr>
        <w:t>account</w:t>
      </w:r>
      <w:proofErr w:type="gramEnd"/>
      <w:r w:rsidR="00930C7E">
        <w:rPr>
          <w:lang w:val="en-GB"/>
        </w:rPr>
        <w:t xml:space="preserve"> prior</w:t>
      </w:r>
      <w:r w:rsidR="0055526A">
        <w:rPr>
          <w:lang w:val="en-GB"/>
        </w:rPr>
        <w:t xml:space="preserve"> to</w:t>
      </w:r>
      <w:r>
        <w:rPr>
          <w:lang w:val="en-GB"/>
        </w:rPr>
        <w:t xml:space="preserve"> the award of</w:t>
      </w:r>
      <w:r w:rsidR="00596CD3">
        <w:rPr>
          <w:lang w:val="en-GB"/>
        </w:rPr>
        <w:t xml:space="preserve"> any non-audit services to the External A</w:t>
      </w:r>
      <w:r>
        <w:rPr>
          <w:lang w:val="en-GB"/>
        </w:rPr>
        <w:t>uditor.</w:t>
      </w:r>
    </w:p>
    <w:p w14:paraId="5D1383F7" w14:textId="77777777" w:rsidR="00C67D3B" w:rsidRPr="00C67D3B" w:rsidRDefault="00C67D3B" w:rsidP="00C67D3B">
      <w:pPr>
        <w:pStyle w:val="ListParagraph"/>
        <w:keepNext/>
        <w:keepLines/>
        <w:numPr>
          <w:ilvl w:val="0"/>
          <w:numId w:val="13"/>
        </w:numPr>
        <w:spacing w:before="240" w:after="120"/>
        <w:contextualSpacing/>
        <w:outlineLvl w:val="2"/>
        <w:rPr>
          <w:rFonts w:cs="Arial"/>
          <w:b/>
          <w:bCs/>
          <w:vanish/>
          <w:color w:val="1C437E"/>
          <w:szCs w:val="26"/>
          <w:lang w:val="en-GB"/>
        </w:rPr>
      </w:pPr>
    </w:p>
    <w:p w14:paraId="1BBDBAB9" w14:textId="77777777" w:rsidR="00C67D3B" w:rsidRPr="00C67D3B" w:rsidRDefault="00C67D3B" w:rsidP="00C67D3B">
      <w:pPr>
        <w:pStyle w:val="ListParagraph"/>
        <w:keepNext/>
        <w:keepLines/>
        <w:numPr>
          <w:ilvl w:val="0"/>
          <w:numId w:val="13"/>
        </w:numPr>
        <w:spacing w:before="240" w:after="120"/>
        <w:contextualSpacing/>
        <w:outlineLvl w:val="2"/>
        <w:rPr>
          <w:rFonts w:cs="Arial"/>
          <w:b/>
          <w:bCs/>
          <w:vanish/>
          <w:color w:val="1C437E"/>
          <w:szCs w:val="26"/>
          <w:lang w:val="en-GB"/>
        </w:rPr>
      </w:pPr>
    </w:p>
    <w:p w14:paraId="236830AC" w14:textId="50BA723F" w:rsidR="00B06033" w:rsidRDefault="00D279AE" w:rsidP="00C67D3B">
      <w:pPr>
        <w:pStyle w:val="Heading3"/>
        <w:numPr>
          <w:ilvl w:val="1"/>
          <w:numId w:val="13"/>
        </w:numPr>
      </w:pPr>
      <w:r>
        <w:t>70% cap on non-audit services</w:t>
      </w:r>
    </w:p>
    <w:p w14:paraId="6F1FEE74" w14:textId="77777777" w:rsidR="00B06033" w:rsidRDefault="00D279AE" w:rsidP="006268D2">
      <w:pPr>
        <w:jc w:val="both"/>
        <w:rPr>
          <w:lang w:val="en-GB"/>
        </w:rPr>
      </w:pPr>
      <w:r>
        <w:rPr>
          <w:lang w:val="en-GB"/>
        </w:rPr>
        <w:t>There is a 70% cap on non-audit services provided by the External Auditor</w:t>
      </w:r>
      <w:r w:rsidR="00093872">
        <w:rPr>
          <w:lang w:val="en-GB"/>
        </w:rPr>
        <w:t xml:space="preserve">. </w:t>
      </w:r>
      <w:r w:rsidR="00093872">
        <w:t xml:space="preserve">The cap is based on comparing the average of three consecutive years of statutory audit fees to the non-audit services in the fourth year. </w:t>
      </w:r>
      <w:r w:rsidR="007760C7">
        <w:rPr>
          <w:lang w:val="en-GB"/>
        </w:rPr>
        <w:t>The FRC’s whitelist of non-audit ser</w:t>
      </w:r>
      <w:r>
        <w:rPr>
          <w:lang w:val="en-GB"/>
        </w:rPr>
        <w:t xml:space="preserve">vices set out in </w:t>
      </w:r>
      <w:r w:rsidRPr="000E7630">
        <w:rPr>
          <w:b/>
          <w:lang w:val="en-GB"/>
        </w:rPr>
        <w:t>Appendix 1</w:t>
      </w:r>
      <w:r>
        <w:rPr>
          <w:lang w:val="en-GB"/>
        </w:rPr>
        <w:t xml:space="preserve"> indicates where a type of service is expected by the FRC to fall within or outside the 70% cap on non-audit services. </w:t>
      </w:r>
      <w:r w:rsidR="00B06033">
        <w:rPr>
          <w:lang w:val="en-GB"/>
        </w:rPr>
        <w:t>In circumstances where the approval of an individual engagement for services above would mean that the cumulative level of non-audit fees would exceed 70% of the statutory audit fee</w:t>
      </w:r>
      <w:r w:rsidR="00D51A8D">
        <w:rPr>
          <w:lang w:val="en-GB"/>
        </w:rPr>
        <w:t xml:space="preserve"> paid in the last three consecutive financial years</w:t>
      </w:r>
      <w:r w:rsidR="00B06033">
        <w:rPr>
          <w:lang w:val="en-GB"/>
        </w:rPr>
        <w:t xml:space="preserve">; </w:t>
      </w:r>
      <w:r w:rsidR="0055526A">
        <w:rPr>
          <w:lang w:val="en-GB"/>
        </w:rPr>
        <w:t>pre-</w:t>
      </w:r>
      <w:r w:rsidR="00B06033">
        <w:rPr>
          <w:lang w:val="en-GB"/>
        </w:rPr>
        <w:t>approval of the engagement along with any others in the financial year is required form the Audit Committee.</w:t>
      </w:r>
    </w:p>
    <w:p w14:paraId="370BCC48" w14:textId="77777777" w:rsidR="00B06033" w:rsidRDefault="00B06033" w:rsidP="006268D2">
      <w:pPr>
        <w:pStyle w:val="Heading3"/>
        <w:numPr>
          <w:ilvl w:val="1"/>
          <w:numId w:val="13"/>
        </w:numPr>
        <w:jc w:val="both"/>
      </w:pPr>
      <w:r>
        <w:t xml:space="preserve">Services provided by other audit </w:t>
      </w:r>
      <w:proofErr w:type="gramStart"/>
      <w:r>
        <w:t>firms</w:t>
      </w:r>
      <w:proofErr w:type="gramEnd"/>
    </w:p>
    <w:p w14:paraId="5AA8AE9C" w14:textId="77777777" w:rsidR="00B06033" w:rsidRDefault="00B06033" w:rsidP="006268D2">
      <w:pPr>
        <w:jc w:val="both"/>
        <w:rPr>
          <w:lang w:val="en-GB"/>
        </w:rPr>
      </w:pPr>
      <w:r>
        <w:rPr>
          <w:lang w:val="en-GB"/>
        </w:rPr>
        <w:t xml:space="preserve">SSE’s external audit contract </w:t>
      </w:r>
      <w:r w:rsidR="0055526A">
        <w:rPr>
          <w:lang w:val="en-GB"/>
        </w:rPr>
        <w:t>is</w:t>
      </w:r>
      <w:r>
        <w:rPr>
          <w:lang w:val="en-GB"/>
        </w:rPr>
        <w:t xml:space="preserve"> subject to mandatory rotation from time-to-time. Audit firms wishing to tender for the external audit </w:t>
      </w:r>
      <w:r w:rsidR="00930C7E">
        <w:rPr>
          <w:lang w:val="en-GB"/>
        </w:rPr>
        <w:t>contract would</w:t>
      </w:r>
      <w:r w:rsidR="0055526A">
        <w:rPr>
          <w:lang w:val="en-GB"/>
        </w:rPr>
        <w:t xml:space="preserve"> </w:t>
      </w:r>
      <w:r>
        <w:rPr>
          <w:lang w:val="en-GB"/>
        </w:rPr>
        <w:t>be restricted if they provide services relating to ‘designing and implementing internal controls related to financial information or designing and implementing finan</w:t>
      </w:r>
      <w:r w:rsidR="00A2223C">
        <w:rPr>
          <w:lang w:val="en-GB"/>
        </w:rPr>
        <w:t>cial information technology systems</w:t>
      </w:r>
      <w:r w:rsidR="00C746AB">
        <w:rPr>
          <w:lang w:val="en-GB"/>
        </w:rPr>
        <w:t xml:space="preserve"> or the provision of an internal audit function</w:t>
      </w:r>
      <w:r w:rsidR="00A2223C">
        <w:rPr>
          <w:lang w:val="en-GB"/>
        </w:rPr>
        <w:t xml:space="preserve">’ in the 12 months </w:t>
      </w:r>
      <w:r w:rsidR="00C746AB">
        <w:rPr>
          <w:lang w:val="en-GB"/>
        </w:rPr>
        <w:t xml:space="preserve">before the first period of the external audit. </w:t>
      </w:r>
      <w:r w:rsidR="00484AFF">
        <w:rPr>
          <w:lang w:val="en-GB"/>
        </w:rPr>
        <w:t>Pre-a</w:t>
      </w:r>
      <w:r w:rsidR="00C746AB">
        <w:rPr>
          <w:lang w:val="en-GB"/>
        </w:rPr>
        <w:t xml:space="preserve">pproval of </w:t>
      </w:r>
      <w:r w:rsidR="00484AFF">
        <w:rPr>
          <w:lang w:val="en-GB"/>
        </w:rPr>
        <w:t xml:space="preserve">such </w:t>
      </w:r>
      <w:r w:rsidR="00C746AB">
        <w:rPr>
          <w:lang w:val="en-GB"/>
        </w:rPr>
        <w:t xml:space="preserve">services </w:t>
      </w:r>
      <w:r w:rsidR="00930C7E">
        <w:rPr>
          <w:lang w:val="en-GB"/>
        </w:rPr>
        <w:t>from any</w:t>
      </w:r>
      <w:r w:rsidR="00C746AB">
        <w:rPr>
          <w:lang w:val="en-GB"/>
        </w:rPr>
        <w:t xml:space="preserve"> </w:t>
      </w:r>
      <w:r w:rsidR="00A2223C">
        <w:rPr>
          <w:lang w:val="en-GB"/>
        </w:rPr>
        <w:t xml:space="preserve">audit firm must </w:t>
      </w:r>
      <w:r w:rsidR="00930C7E">
        <w:rPr>
          <w:lang w:val="en-GB"/>
        </w:rPr>
        <w:t>be obtained</w:t>
      </w:r>
      <w:r w:rsidR="00484AFF">
        <w:rPr>
          <w:lang w:val="en-GB"/>
        </w:rPr>
        <w:t xml:space="preserve"> </w:t>
      </w:r>
      <w:r w:rsidR="00930C7E">
        <w:rPr>
          <w:lang w:val="en-GB"/>
        </w:rPr>
        <w:t>from the</w:t>
      </w:r>
      <w:r w:rsidR="00FA297B">
        <w:rPr>
          <w:lang w:val="en-GB"/>
        </w:rPr>
        <w:t xml:space="preserve"> Finance Director</w:t>
      </w:r>
      <w:r w:rsidR="003A5240">
        <w:rPr>
          <w:lang w:val="en-GB"/>
        </w:rPr>
        <w:t>.</w:t>
      </w:r>
      <w:r w:rsidR="00DE1C11">
        <w:rPr>
          <w:lang w:val="en-GB"/>
        </w:rPr>
        <w:t xml:space="preserve"> Any firm appointed for reporting accountant services will have to assess their independence to broadly the same standard as if they were the external auditor of the company</w:t>
      </w:r>
      <w:r w:rsidR="003A5240">
        <w:rPr>
          <w:lang w:val="en-GB"/>
        </w:rPr>
        <w:t>.</w:t>
      </w:r>
    </w:p>
    <w:p w14:paraId="143F8951" w14:textId="77777777" w:rsidR="00A2223C" w:rsidRDefault="00A2223C" w:rsidP="006268D2">
      <w:pPr>
        <w:pStyle w:val="Heading2"/>
        <w:numPr>
          <w:ilvl w:val="0"/>
          <w:numId w:val="0"/>
        </w:numPr>
        <w:jc w:val="both"/>
      </w:pPr>
      <w:r>
        <w:t>4.</w:t>
      </w:r>
      <w:r>
        <w:tab/>
        <w:t>APPROVAL PROCESS</w:t>
      </w:r>
    </w:p>
    <w:p w14:paraId="64839874" w14:textId="477CBFE1" w:rsidR="00A2223C" w:rsidRDefault="00A2223C" w:rsidP="006268D2">
      <w:pPr>
        <w:jc w:val="both"/>
        <w:rPr>
          <w:lang w:val="en-GB"/>
        </w:rPr>
      </w:pPr>
      <w:r>
        <w:rPr>
          <w:lang w:val="en-GB"/>
        </w:rPr>
        <w:t xml:space="preserve">To seek approval for a particular engagement in accordance with this </w:t>
      </w:r>
      <w:r w:rsidR="00FA297B">
        <w:rPr>
          <w:lang w:val="en-GB"/>
        </w:rPr>
        <w:t>procedure</w:t>
      </w:r>
      <w:r>
        <w:rPr>
          <w:lang w:val="en-GB"/>
        </w:rPr>
        <w:t>, the sponsor should obtain a proposed s</w:t>
      </w:r>
      <w:r w:rsidR="00D51A8D">
        <w:rPr>
          <w:lang w:val="en-GB"/>
        </w:rPr>
        <w:t>cope and fee estimate from the External A</w:t>
      </w:r>
      <w:r>
        <w:rPr>
          <w:lang w:val="en-GB"/>
        </w:rPr>
        <w:t xml:space="preserve">uditor before any work commences. This may involve a competitive tender process. An </w:t>
      </w:r>
      <w:r w:rsidR="007D0681">
        <w:rPr>
          <w:lang w:val="en-GB"/>
        </w:rPr>
        <w:t xml:space="preserve">Authorisation Request Form (as set out in </w:t>
      </w:r>
      <w:r w:rsidR="007D0681" w:rsidRPr="007D0681">
        <w:rPr>
          <w:b/>
          <w:bCs/>
          <w:lang w:val="en-GB"/>
        </w:rPr>
        <w:t>Appendix 2</w:t>
      </w:r>
      <w:r w:rsidR="007D0681">
        <w:rPr>
          <w:lang w:val="en-GB"/>
        </w:rPr>
        <w:t xml:space="preserve">) </w:t>
      </w:r>
      <w:r w:rsidR="006268D2">
        <w:rPr>
          <w:lang w:val="en-GB"/>
        </w:rPr>
        <w:t xml:space="preserve">must be </w:t>
      </w:r>
      <w:r>
        <w:rPr>
          <w:lang w:val="en-GB"/>
        </w:rPr>
        <w:t>submitted to the Finance Director</w:t>
      </w:r>
      <w:r>
        <w:rPr>
          <w:rStyle w:val="FootnoteReference"/>
          <w:lang w:val="en-GB"/>
        </w:rPr>
        <w:footnoteReference w:id="1"/>
      </w:r>
      <w:r>
        <w:rPr>
          <w:lang w:val="en-GB"/>
        </w:rPr>
        <w:t xml:space="preserve"> for initial consideration before approval</w:t>
      </w:r>
      <w:r w:rsidR="006268D2">
        <w:rPr>
          <w:lang w:val="en-GB"/>
        </w:rPr>
        <w:t xml:space="preserve"> is sought</w:t>
      </w:r>
      <w:r w:rsidR="001406E8">
        <w:rPr>
          <w:lang w:val="en-GB"/>
        </w:rPr>
        <w:t xml:space="preserve"> from the Audit Committee at either a full meeting of the Committee or through the process to facilitate between meetings decisions. </w:t>
      </w:r>
    </w:p>
    <w:p w14:paraId="277C848A" w14:textId="77777777" w:rsidR="00A2223C" w:rsidRDefault="00A2223C" w:rsidP="006268D2">
      <w:pPr>
        <w:jc w:val="both"/>
        <w:rPr>
          <w:lang w:val="en-GB"/>
        </w:rPr>
      </w:pPr>
      <w:r>
        <w:rPr>
          <w:lang w:val="en-GB"/>
        </w:rPr>
        <w:t>Once approved, the project should be logged by the Audit Committee Secretary and raised at the next Audit Committee meeting. The Group Financial Controller will also be i</w:t>
      </w:r>
      <w:r w:rsidR="00FA297B">
        <w:rPr>
          <w:lang w:val="en-GB"/>
        </w:rPr>
        <w:t xml:space="preserve">nformed </w:t>
      </w:r>
      <w:proofErr w:type="gramStart"/>
      <w:r w:rsidR="00FA297B">
        <w:rPr>
          <w:lang w:val="en-GB"/>
        </w:rPr>
        <w:t>in order to</w:t>
      </w:r>
      <w:proofErr w:type="gramEnd"/>
      <w:r w:rsidR="00FA297B">
        <w:rPr>
          <w:lang w:val="en-GB"/>
        </w:rPr>
        <w:t xml:space="preserve"> track fees.</w:t>
      </w:r>
    </w:p>
    <w:p w14:paraId="6EF57946" w14:textId="77777777" w:rsidR="00A2223C" w:rsidRDefault="00A2223C" w:rsidP="006268D2">
      <w:pPr>
        <w:pStyle w:val="Heading2"/>
        <w:numPr>
          <w:ilvl w:val="0"/>
          <w:numId w:val="0"/>
        </w:numPr>
        <w:jc w:val="both"/>
      </w:pPr>
      <w:r>
        <w:t>5.</w:t>
      </w:r>
      <w:r>
        <w:tab/>
        <w:t>REPORTING</w:t>
      </w:r>
    </w:p>
    <w:p w14:paraId="5A3A55C9" w14:textId="77777777" w:rsidR="00A2223C" w:rsidRDefault="00A2223C" w:rsidP="006268D2">
      <w:pPr>
        <w:jc w:val="both"/>
        <w:rPr>
          <w:lang w:val="en-GB"/>
        </w:rPr>
      </w:pPr>
      <w:r>
        <w:rPr>
          <w:lang w:val="en-GB"/>
        </w:rPr>
        <w:t>The Audit Committee will receive a quarterly report on the services being pro</w:t>
      </w:r>
      <w:r w:rsidR="00D51A8D">
        <w:rPr>
          <w:lang w:val="en-GB"/>
        </w:rPr>
        <w:t xml:space="preserve">vided by the External Auditor. </w:t>
      </w:r>
      <w:r w:rsidR="006268D2">
        <w:rPr>
          <w:lang w:val="en-GB"/>
        </w:rPr>
        <w:t>T</w:t>
      </w:r>
      <w:r>
        <w:rPr>
          <w:lang w:val="en-GB"/>
        </w:rPr>
        <w:t xml:space="preserve">he Audit Committee will report to shareholders </w:t>
      </w:r>
      <w:r w:rsidR="00D51A8D">
        <w:rPr>
          <w:lang w:val="en-GB"/>
        </w:rPr>
        <w:t xml:space="preserve">as a minimum </w:t>
      </w:r>
      <w:r>
        <w:rPr>
          <w:lang w:val="en-GB"/>
        </w:rPr>
        <w:t>on:</w:t>
      </w:r>
    </w:p>
    <w:p w14:paraId="0AF9D478" w14:textId="77777777" w:rsidR="00A2223C" w:rsidRDefault="00A2223C" w:rsidP="006268D2">
      <w:pPr>
        <w:numPr>
          <w:ilvl w:val="0"/>
          <w:numId w:val="14"/>
        </w:numPr>
        <w:jc w:val="both"/>
        <w:rPr>
          <w:lang w:val="en-GB"/>
        </w:rPr>
      </w:pPr>
      <w:r>
        <w:rPr>
          <w:lang w:val="en-GB"/>
        </w:rPr>
        <w:t>The Company’s annual expenditure with the External Auditor on Audit, Audit Related Services and Permitted Non-Audit Services.</w:t>
      </w:r>
    </w:p>
    <w:p w14:paraId="2D58A7E8" w14:textId="77777777" w:rsidR="00A2223C" w:rsidRDefault="00A2223C" w:rsidP="006268D2">
      <w:pPr>
        <w:numPr>
          <w:ilvl w:val="0"/>
          <w:numId w:val="14"/>
        </w:numPr>
        <w:jc w:val="both"/>
        <w:rPr>
          <w:lang w:val="en-GB"/>
        </w:rPr>
      </w:pPr>
      <w:r>
        <w:rPr>
          <w:lang w:val="en-GB"/>
        </w:rPr>
        <w:t>Whether it is satisfied that the integrity of the audit has not been compromised by the provision of Audit Related Services and Permitted Non-Audit Services.</w:t>
      </w:r>
    </w:p>
    <w:p w14:paraId="3D2E3E7B" w14:textId="77777777" w:rsidR="00A2223C" w:rsidRDefault="00A2223C" w:rsidP="006268D2">
      <w:pPr>
        <w:numPr>
          <w:ilvl w:val="0"/>
          <w:numId w:val="14"/>
        </w:numPr>
        <w:jc w:val="both"/>
        <w:rPr>
          <w:lang w:val="en-GB"/>
        </w:rPr>
      </w:pPr>
      <w:r>
        <w:rPr>
          <w:lang w:val="en-GB"/>
        </w:rPr>
        <w:t xml:space="preserve">How the </w:t>
      </w:r>
      <w:r w:rsidR="00D51A8D">
        <w:rPr>
          <w:lang w:val="en-GB"/>
        </w:rPr>
        <w:t>policy</w:t>
      </w:r>
      <w:r>
        <w:rPr>
          <w:lang w:val="en-GB"/>
        </w:rPr>
        <w:t xml:space="preserve"> on the engagement of the External Auditor to supply non-audit services provides adequate protection to auditor objectivity and indepe</w:t>
      </w:r>
      <w:r w:rsidR="00FA297B">
        <w:rPr>
          <w:lang w:val="en-GB"/>
        </w:rPr>
        <w:t>ndence.</w:t>
      </w:r>
    </w:p>
    <w:p w14:paraId="321FCE4D" w14:textId="77777777" w:rsidR="00A2223C" w:rsidRDefault="00A2223C" w:rsidP="00A2223C">
      <w:pPr>
        <w:pStyle w:val="Heading2"/>
        <w:numPr>
          <w:ilvl w:val="0"/>
          <w:numId w:val="0"/>
        </w:numPr>
      </w:pPr>
      <w:r>
        <w:t>6.</w:t>
      </w:r>
      <w:r>
        <w:tab/>
        <w:t>AUTHORITY AND REVIEW CYCLE</w:t>
      </w:r>
    </w:p>
    <w:p w14:paraId="093A1CBE" w14:textId="77777777" w:rsidR="00A2223C" w:rsidRPr="00A2223C" w:rsidRDefault="00A2223C" w:rsidP="00A2223C">
      <w:pPr>
        <w:rPr>
          <w:lang w:val="en-GB"/>
        </w:rPr>
      </w:pPr>
      <w:r>
        <w:rPr>
          <w:lang w:val="en-GB"/>
        </w:rPr>
        <w:t xml:space="preserve">The Audit Committee is responsible for the implementation of this </w:t>
      </w:r>
      <w:r w:rsidR="00FA297B">
        <w:rPr>
          <w:lang w:val="en-GB"/>
        </w:rPr>
        <w:t>procedure</w:t>
      </w:r>
      <w:r>
        <w:rPr>
          <w:lang w:val="en-GB"/>
        </w:rPr>
        <w:t>, which is subject to regular review.</w:t>
      </w:r>
    </w:p>
    <w:p w14:paraId="156D646A" w14:textId="77777777" w:rsidR="00A2223C" w:rsidRPr="00A2223C" w:rsidRDefault="00A2223C" w:rsidP="00A2223C">
      <w:pPr>
        <w:rPr>
          <w:lang w:val="en-GB"/>
        </w:rPr>
      </w:pPr>
    </w:p>
    <w:p w14:paraId="20B2039C" w14:textId="77777777" w:rsidR="00F35544" w:rsidRPr="000E7630" w:rsidRDefault="00F35544" w:rsidP="00E56398">
      <w:pPr>
        <w:pStyle w:val="Heading2"/>
        <w:numPr>
          <w:ilvl w:val="0"/>
          <w:numId w:val="0"/>
        </w:numPr>
        <w:rPr>
          <w:b/>
        </w:rPr>
      </w:pPr>
      <w:r>
        <w:br w:type="page"/>
      </w:r>
      <w:r w:rsidR="000E7630" w:rsidRPr="000E7630">
        <w:rPr>
          <w:b/>
        </w:rPr>
        <w:lastRenderedPageBreak/>
        <w:t>APPENDIX 1</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992"/>
        <w:gridCol w:w="992"/>
      </w:tblGrid>
      <w:tr w:rsidR="00F35544" w:rsidRPr="001406E8" w14:paraId="1F1871A2" w14:textId="77777777" w:rsidTr="001406E8">
        <w:trPr>
          <w:trHeight w:val="833"/>
        </w:trPr>
        <w:tc>
          <w:tcPr>
            <w:tcW w:w="8364" w:type="dxa"/>
          </w:tcPr>
          <w:p w14:paraId="68414DFD" w14:textId="77777777" w:rsidR="00F35544" w:rsidRPr="001406E8" w:rsidRDefault="00F35544" w:rsidP="00F35544">
            <w:pPr>
              <w:autoSpaceDE w:val="0"/>
              <w:autoSpaceDN w:val="0"/>
              <w:adjustRightInd w:val="0"/>
              <w:spacing w:after="0"/>
              <w:contextualSpacing/>
              <w:rPr>
                <w:rFonts w:cs="Calibri"/>
                <w:color w:val="000000"/>
                <w:szCs w:val="20"/>
                <w:lang w:val="en-GB"/>
              </w:rPr>
            </w:pPr>
            <w:r w:rsidRPr="001406E8">
              <w:rPr>
                <w:rFonts w:cs="Calibri"/>
                <w:b/>
                <w:bCs/>
                <w:color w:val="000000"/>
                <w:szCs w:val="20"/>
                <w:lang w:val="en-GB"/>
              </w:rPr>
              <w:t xml:space="preserve">Whitelist of </w:t>
            </w:r>
            <w:r w:rsidR="00B85517" w:rsidRPr="001406E8">
              <w:rPr>
                <w:rFonts w:cs="Calibri"/>
                <w:b/>
                <w:bCs/>
                <w:color w:val="000000"/>
                <w:szCs w:val="20"/>
                <w:lang w:val="en-GB"/>
              </w:rPr>
              <w:t>Permitted N</w:t>
            </w:r>
            <w:r w:rsidRPr="001406E8">
              <w:rPr>
                <w:rFonts w:cs="Calibri"/>
                <w:b/>
                <w:bCs/>
                <w:color w:val="000000"/>
                <w:szCs w:val="20"/>
                <w:lang w:val="en-GB"/>
              </w:rPr>
              <w:t>on</w:t>
            </w:r>
            <w:r w:rsidRPr="001406E8">
              <w:rPr>
                <w:rFonts w:cs="Calibri"/>
                <w:b/>
                <w:bCs/>
                <w:color w:val="000000"/>
                <w:szCs w:val="20"/>
                <w:lang w:val="en-GB"/>
              </w:rPr>
              <w:noBreakHyphen/>
            </w:r>
            <w:r w:rsidR="00B85517" w:rsidRPr="001406E8">
              <w:rPr>
                <w:rFonts w:cs="Calibri"/>
                <w:b/>
                <w:bCs/>
                <w:color w:val="000000"/>
                <w:szCs w:val="20"/>
                <w:lang w:val="en-GB"/>
              </w:rPr>
              <w:t>A</w:t>
            </w:r>
            <w:r w:rsidRPr="001406E8">
              <w:rPr>
                <w:rFonts w:cs="Calibri"/>
                <w:b/>
                <w:bCs/>
                <w:color w:val="000000"/>
                <w:szCs w:val="20"/>
                <w:lang w:val="en-GB"/>
              </w:rPr>
              <w:t xml:space="preserve">udit </w:t>
            </w:r>
            <w:r w:rsidR="00B85517" w:rsidRPr="001406E8">
              <w:rPr>
                <w:rFonts w:cs="Calibri"/>
                <w:b/>
                <w:bCs/>
                <w:color w:val="000000"/>
                <w:szCs w:val="20"/>
                <w:lang w:val="en-GB"/>
              </w:rPr>
              <w:t>S</w:t>
            </w:r>
            <w:r w:rsidRPr="001406E8">
              <w:rPr>
                <w:rFonts w:cs="Calibri"/>
                <w:b/>
                <w:bCs/>
                <w:color w:val="000000"/>
                <w:szCs w:val="20"/>
                <w:lang w:val="en-GB"/>
              </w:rPr>
              <w:t>ervices</w:t>
            </w:r>
            <w:r w:rsidR="000E7630" w:rsidRPr="001406E8">
              <w:rPr>
                <w:rFonts w:cs="Calibri"/>
                <w:b/>
                <w:bCs/>
                <w:color w:val="000000"/>
                <w:szCs w:val="20"/>
                <w:lang w:val="en-GB"/>
              </w:rPr>
              <w:t xml:space="preserve"> (including Audit Related and Non-Audit Services</w:t>
            </w:r>
          </w:p>
        </w:tc>
        <w:tc>
          <w:tcPr>
            <w:tcW w:w="992" w:type="dxa"/>
          </w:tcPr>
          <w:p w14:paraId="2C59C657" w14:textId="77777777" w:rsidR="00F35544" w:rsidRPr="001406E8" w:rsidRDefault="00F35544" w:rsidP="00F35544">
            <w:pPr>
              <w:autoSpaceDE w:val="0"/>
              <w:autoSpaceDN w:val="0"/>
              <w:adjustRightInd w:val="0"/>
              <w:spacing w:after="0"/>
              <w:contextualSpacing/>
              <w:jc w:val="center"/>
              <w:rPr>
                <w:rFonts w:cs="Calibri"/>
                <w:color w:val="000000"/>
                <w:szCs w:val="20"/>
                <w:lang w:val="en-GB"/>
              </w:rPr>
            </w:pPr>
            <w:r w:rsidRPr="001406E8">
              <w:rPr>
                <w:rFonts w:cs="Calibri"/>
                <w:b/>
                <w:bCs/>
                <w:color w:val="000000"/>
                <w:szCs w:val="20"/>
                <w:lang w:val="en-GB"/>
              </w:rPr>
              <w:t>Outside cap</w:t>
            </w:r>
          </w:p>
        </w:tc>
        <w:tc>
          <w:tcPr>
            <w:tcW w:w="992" w:type="dxa"/>
          </w:tcPr>
          <w:p w14:paraId="0B1AD2DF" w14:textId="77777777" w:rsidR="00F35544" w:rsidRPr="001406E8" w:rsidRDefault="00F35544" w:rsidP="00F35544">
            <w:pPr>
              <w:autoSpaceDE w:val="0"/>
              <w:autoSpaceDN w:val="0"/>
              <w:adjustRightInd w:val="0"/>
              <w:spacing w:after="0"/>
              <w:contextualSpacing/>
              <w:jc w:val="center"/>
              <w:rPr>
                <w:rFonts w:cs="Calibri"/>
                <w:color w:val="000000"/>
                <w:szCs w:val="20"/>
                <w:lang w:val="en-GB"/>
              </w:rPr>
            </w:pPr>
            <w:r w:rsidRPr="001406E8">
              <w:rPr>
                <w:rFonts w:cs="Calibri"/>
                <w:b/>
                <w:bCs/>
                <w:color w:val="000000"/>
                <w:szCs w:val="20"/>
                <w:lang w:val="en-GB"/>
              </w:rPr>
              <w:t>Counts towards cap</w:t>
            </w:r>
          </w:p>
        </w:tc>
      </w:tr>
      <w:tr w:rsidR="00F35544" w:rsidRPr="001406E8" w14:paraId="27487660" w14:textId="77777777" w:rsidTr="001406E8">
        <w:trPr>
          <w:trHeight w:val="833"/>
        </w:trPr>
        <w:tc>
          <w:tcPr>
            <w:tcW w:w="8364" w:type="dxa"/>
          </w:tcPr>
          <w:p w14:paraId="07CC054F" w14:textId="77777777" w:rsidR="00F35544" w:rsidRPr="001406E8" w:rsidRDefault="00F35544" w:rsidP="00F35544">
            <w:pPr>
              <w:autoSpaceDE w:val="0"/>
              <w:autoSpaceDN w:val="0"/>
              <w:adjustRightInd w:val="0"/>
              <w:spacing w:after="0"/>
              <w:contextualSpacing/>
              <w:rPr>
                <w:rFonts w:cs="Calibri"/>
                <w:color w:val="000000"/>
                <w:szCs w:val="20"/>
                <w:lang w:val="en-GB"/>
              </w:rPr>
            </w:pPr>
            <w:r w:rsidRPr="001406E8">
              <w:rPr>
                <w:rFonts w:cs="Calibri"/>
                <w:color w:val="000000"/>
                <w:szCs w:val="20"/>
                <w:lang w:val="en-GB"/>
              </w:rPr>
              <w:t xml:space="preserve">Reporting required by a competent authority or regulator under UK law or regulation* for example: </w:t>
            </w:r>
          </w:p>
          <w:p w14:paraId="38F456AE" w14:textId="77777777" w:rsidR="00F35544" w:rsidRPr="001406E8" w:rsidRDefault="00F35544" w:rsidP="00F35544">
            <w:pPr>
              <w:numPr>
                <w:ilvl w:val="0"/>
                <w:numId w:val="18"/>
              </w:numPr>
              <w:autoSpaceDE w:val="0"/>
              <w:autoSpaceDN w:val="0"/>
              <w:adjustRightInd w:val="0"/>
              <w:spacing w:after="0"/>
              <w:contextualSpacing/>
              <w:rPr>
                <w:rFonts w:cs="Calibri"/>
                <w:szCs w:val="20"/>
                <w:lang w:val="en-GB"/>
              </w:rPr>
            </w:pPr>
            <w:r w:rsidRPr="001406E8">
              <w:rPr>
                <w:rFonts w:cs="Calibri"/>
                <w:szCs w:val="20"/>
                <w:lang w:val="en-GB"/>
              </w:rPr>
              <w:t xml:space="preserve">Reporting to a regulator on client </w:t>
            </w:r>
            <w:proofErr w:type="gramStart"/>
            <w:r w:rsidRPr="001406E8">
              <w:rPr>
                <w:rFonts w:cs="Calibri"/>
                <w:szCs w:val="20"/>
                <w:lang w:val="en-GB"/>
              </w:rPr>
              <w:t>assets;</w:t>
            </w:r>
            <w:proofErr w:type="gramEnd"/>
            <w:r w:rsidRPr="001406E8">
              <w:rPr>
                <w:rFonts w:cs="Calibri"/>
                <w:szCs w:val="20"/>
                <w:lang w:val="en-GB"/>
              </w:rPr>
              <w:t xml:space="preserve"> </w:t>
            </w:r>
          </w:p>
          <w:p w14:paraId="10AE26C8" w14:textId="77777777" w:rsidR="00F35544" w:rsidRPr="001406E8" w:rsidRDefault="00F35544" w:rsidP="00F35544">
            <w:pPr>
              <w:numPr>
                <w:ilvl w:val="0"/>
                <w:numId w:val="18"/>
              </w:numPr>
              <w:autoSpaceDE w:val="0"/>
              <w:autoSpaceDN w:val="0"/>
              <w:adjustRightInd w:val="0"/>
              <w:spacing w:after="0"/>
              <w:contextualSpacing/>
              <w:rPr>
                <w:rFonts w:cs="Calibri"/>
                <w:szCs w:val="20"/>
                <w:lang w:val="en-GB"/>
              </w:rPr>
            </w:pPr>
            <w:r w:rsidRPr="001406E8">
              <w:rPr>
                <w:rFonts w:cs="Calibri"/>
                <w:szCs w:val="20"/>
                <w:lang w:val="en-GB"/>
              </w:rPr>
              <w:t xml:space="preserve">In relation to entities regulated under the Financial Services and Markets Act 2000 (FSMA), reports under s166 and s340 of </w:t>
            </w:r>
            <w:proofErr w:type="gramStart"/>
            <w:r w:rsidRPr="001406E8">
              <w:rPr>
                <w:rFonts w:cs="Calibri"/>
                <w:szCs w:val="20"/>
                <w:lang w:val="en-GB"/>
              </w:rPr>
              <w:t>FSMA;</w:t>
            </w:r>
            <w:proofErr w:type="gramEnd"/>
          </w:p>
          <w:p w14:paraId="04128AC5" w14:textId="77777777" w:rsidR="00F35544" w:rsidRPr="001406E8" w:rsidRDefault="00F35544" w:rsidP="00F35544">
            <w:pPr>
              <w:numPr>
                <w:ilvl w:val="0"/>
                <w:numId w:val="18"/>
              </w:numPr>
              <w:autoSpaceDE w:val="0"/>
              <w:autoSpaceDN w:val="0"/>
              <w:adjustRightInd w:val="0"/>
              <w:spacing w:after="0"/>
              <w:contextualSpacing/>
              <w:rPr>
                <w:rFonts w:cs="Calibri"/>
                <w:szCs w:val="20"/>
                <w:lang w:val="en-GB"/>
              </w:rPr>
            </w:pPr>
            <w:r w:rsidRPr="001406E8">
              <w:rPr>
                <w:rFonts w:cs="Calibri"/>
                <w:szCs w:val="20"/>
                <w:lang w:val="en-GB"/>
              </w:rPr>
              <w:t xml:space="preserve">Reporting to a regulator on regulatory financial </w:t>
            </w:r>
            <w:proofErr w:type="gramStart"/>
            <w:r w:rsidRPr="001406E8">
              <w:rPr>
                <w:rFonts w:cs="Calibri"/>
                <w:szCs w:val="20"/>
                <w:lang w:val="en-GB"/>
              </w:rPr>
              <w:t>statements;</w:t>
            </w:r>
            <w:proofErr w:type="gramEnd"/>
          </w:p>
          <w:p w14:paraId="56625F50" w14:textId="77777777" w:rsidR="00F35544" w:rsidRPr="001406E8" w:rsidRDefault="00F35544" w:rsidP="00F35544">
            <w:pPr>
              <w:numPr>
                <w:ilvl w:val="0"/>
                <w:numId w:val="18"/>
              </w:numPr>
              <w:autoSpaceDE w:val="0"/>
              <w:autoSpaceDN w:val="0"/>
              <w:adjustRightInd w:val="0"/>
              <w:spacing w:after="0"/>
              <w:contextualSpacing/>
              <w:rPr>
                <w:rFonts w:cs="Calibri"/>
                <w:color w:val="000000"/>
                <w:szCs w:val="20"/>
                <w:lang w:val="en-GB"/>
              </w:rPr>
            </w:pPr>
            <w:r w:rsidRPr="001406E8">
              <w:rPr>
                <w:rFonts w:cs="Calibri"/>
                <w:szCs w:val="20"/>
                <w:lang w:val="en-GB"/>
              </w:rPr>
              <w:t>Reporting on a Solvency and Financial Condition Report under Solvency II.</w:t>
            </w:r>
          </w:p>
        </w:tc>
        <w:tc>
          <w:tcPr>
            <w:tcW w:w="992" w:type="dxa"/>
          </w:tcPr>
          <w:p w14:paraId="16EF5F4D" w14:textId="77777777" w:rsidR="00F35544" w:rsidRPr="001406E8" w:rsidRDefault="00F35544" w:rsidP="00F35544">
            <w:pPr>
              <w:autoSpaceDE w:val="0"/>
              <w:autoSpaceDN w:val="0"/>
              <w:adjustRightInd w:val="0"/>
              <w:spacing w:after="0"/>
              <w:contextualSpacing/>
              <w:jc w:val="center"/>
              <w:rPr>
                <w:rFonts w:cs="Calibri"/>
                <w:color w:val="000000"/>
                <w:szCs w:val="20"/>
                <w:lang w:val="en-GB"/>
              </w:rPr>
            </w:pPr>
            <w:r w:rsidRPr="001406E8">
              <w:rPr>
                <w:rFonts w:cs="Calibri"/>
                <w:color w:val="000000"/>
                <w:szCs w:val="20"/>
                <w:lang w:val="en-GB"/>
              </w:rPr>
              <w:t>Yes</w:t>
            </w:r>
          </w:p>
        </w:tc>
        <w:tc>
          <w:tcPr>
            <w:tcW w:w="992" w:type="dxa"/>
          </w:tcPr>
          <w:p w14:paraId="7827BB46" w14:textId="77777777" w:rsidR="00F35544" w:rsidRPr="001406E8" w:rsidRDefault="00F35544" w:rsidP="00F35544">
            <w:pPr>
              <w:autoSpaceDE w:val="0"/>
              <w:autoSpaceDN w:val="0"/>
              <w:adjustRightInd w:val="0"/>
              <w:spacing w:after="0"/>
              <w:contextualSpacing/>
              <w:jc w:val="center"/>
              <w:rPr>
                <w:rFonts w:cs="Calibri"/>
                <w:color w:val="000000"/>
                <w:szCs w:val="20"/>
                <w:lang w:val="en-GB"/>
              </w:rPr>
            </w:pPr>
          </w:p>
        </w:tc>
      </w:tr>
      <w:tr w:rsidR="00F35544" w:rsidRPr="001406E8" w14:paraId="4C63DB21" w14:textId="77777777" w:rsidTr="001406E8">
        <w:trPr>
          <w:trHeight w:val="351"/>
        </w:trPr>
        <w:tc>
          <w:tcPr>
            <w:tcW w:w="8364" w:type="dxa"/>
          </w:tcPr>
          <w:p w14:paraId="21F203CA" w14:textId="77777777" w:rsidR="00F35544" w:rsidRPr="001406E8" w:rsidRDefault="00F35544" w:rsidP="00F35544">
            <w:pPr>
              <w:autoSpaceDE w:val="0"/>
              <w:autoSpaceDN w:val="0"/>
              <w:adjustRightInd w:val="0"/>
              <w:spacing w:after="0"/>
              <w:contextualSpacing/>
              <w:rPr>
                <w:rFonts w:cs="Calibri"/>
                <w:color w:val="000000"/>
                <w:szCs w:val="20"/>
                <w:lang w:val="en-GB"/>
              </w:rPr>
            </w:pPr>
            <w:r w:rsidRPr="001406E8">
              <w:rPr>
                <w:rFonts w:cs="Calibri"/>
                <w:color w:val="000000"/>
                <w:szCs w:val="20"/>
                <w:lang w:val="en-GB"/>
              </w:rPr>
              <w:t>In the case of a controlled undertaking incorporated and based in a third country, reporting required by law or regulation in that jurisdiction where the auditor is required to undertake that engagement.</w:t>
            </w:r>
          </w:p>
        </w:tc>
        <w:tc>
          <w:tcPr>
            <w:tcW w:w="992" w:type="dxa"/>
          </w:tcPr>
          <w:p w14:paraId="5C8817B9" w14:textId="77777777" w:rsidR="00F35544" w:rsidRPr="001406E8" w:rsidRDefault="00F35544" w:rsidP="00F35544">
            <w:pPr>
              <w:spacing w:after="0"/>
              <w:contextualSpacing/>
              <w:jc w:val="center"/>
              <w:rPr>
                <w:rFonts w:cs="Calibri"/>
                <w:szCs w:val="20"/>
                <w:lang w:val="en-GB"/>
              </w:rPr>
            </w:pPr>
            <w:r w:rsidRPr="001406E8">
              <w:rPr>
                <w:rFonts w:cs="Calibri"/>
                <w:color w:val="000000"/>
                <w:szCs w:val="20"/>
                <w:lang w:val="en-GB"/>
              </w:rPr>
              <w:t>Yes</w:t>
            </w:r>
          </w:p>
        </w:tc>
        <w:tc>
          <w:tcPr>
            <w:tcW w:w="992" w:type="dxa"/>
          </w:tcPr>
          <w:p w14:paraId="6C030F03" w14:textId="77777777" w:rsidR="00F35544" w:rsidRPr="001406E8" w:rsidRDefault="00F35544" w:rsidP="00F35544">
            <w:pPr>
              <w:autoSpaceDE w:val="0"/>
              <w:autoSpaceDN w:val="0"/>
              <w:adjustRightInd w:val="0"/>
              <w:spacing w:after="0"/>
              <w:contextualSpacing/>
              <w:jc w:val="center"/>
              <w:rPr>
                <w:rFonts w:cs="Calibri"/>
                <w:color w:val="000000"/>
                <w:szCs w:val="20"/>
                <w:lang w:val="en-GB"/>
              </w:rPr>
            </w:pPr>
          </w:p>
        </w:tc>
      </w:tr>
      <w:tr w:rsidR="00F35544" w:rsidRPr="001406E8" w14:paraId="5166C55A" w14:textId="77777777" w:rsidTr="001406E8">
        <w:trPr>
          <w:trHeight w:val="351"/>
        </w:trPr>
        <w:tc>
          <w:tcPr>
            <w:tcW w:w="8364" w:type="dxa"/>
          </w:tcPr>
          <w:p w14:paraId="2DDA5057" w14:textId="77777777" w:rsidR="00F35544" w:rsidRPr="001406E8" w:rsidRDefault="00F35544" w:rsidP="00F35544">
            <w:pPr>
              <w:autoSpaceDE w:val="0"/>
              <w:autoSpaceDN w:val="0"/>
              <w:adjustRightInd w:val="0"/>
              <w:spacing w:after="0"/>
              <w:contextualSpacing/>
              <w:rPr>
                <w:rFonts w:cs="Calibri"/>
                <w:color w:val="000000"/>
                <w:szCs w:val="20"/>
                <w:lang w:val="en-GB"/>
              </w:rPr>
            </w:pPr>
            <w:r w:rsidRPr="001406E8">
              <w:rPr>
                <w:rFonts w:cs="Calibri"/>
                <w:color w:val="000000"/>
                <w:szCs w:val="20"/>
                <w:lang w:val="en-GB"/>
              </w:rPr>
              <w:t xml:space="preserve">Reporting on internal financial controls when required by law or </w:t>
            </w:r>
            <w:proofErr w:type="gramStart"/>
            <w:r w:rsidRPr="001406E8">
              <w:rPr>
                <w:rFonts w:cs="Calibri"/>
                <w:color w:val="000000"/>
                <w:szCs w:val="20"/>
                <w:lang w:val="en-GB"/>
              </w:rPr>
              <w:t>regulation.*</w:t>
            </w:r>
            <w:proofErr w:type="gramEnd"/>
            <w:r w:rsidRPr="001406E8">
              <w:rPr>
                <w:rFonts w:cs="Calibri"/>
                <w:color w:val="000000"/>
                <w:szCs w:val="20"/>
                <w:lang w:val="en-GB"/>
              </w:rPr>
              <w:t>*</w:t>
            </w:r>
          </w:p>
        </w:tc>
        <w:tc>
          <w:tcPr>
            <w:tcW w:w="992" w:type="dxa"/>
          </w:tcPr>
          <w:p w14:paraId="2B48DACB" w14:textId="77777777" w:rsidR="00F35544" w:rsidRPr="001406E8" w:rsidRDefault="00F35544" w:rsidP="00F35544">
            <w:pPr>
              <w:spacing w:after="0"/>
              <w:contextualSpacing/>
              <w:jc w:val="center"/>
              <w:rPr>
                <w:rFonts w:cs="Calibri"/>
                <w:szCs w:val="20"/>
                <w:lang w:val="en-GB"/>
              </w:rPr>
            </w:pPr>
            <w:r w:rsidRPr="001406E8">
              <w:rPr>
                <w:rFonts w:cs="Calibri"/>
                <w:color w:val="000000"/>
                <w:szCs w:val="20"/>
                <w:lang w:val="en-GB"/>
              </w:rPr>
              <w:t>Yes</w:t>
            </w:r>
          </w:p>
        </w:tc>
        <w:tc>
          <w:tcPr>
            <w:tcW w:w="992" w:type="dxa"/>
          </w:tcPr>
          <w:p w14:paraId="24FE78A3" w14:textId="77777777" w:rsidR="00F35544" w:rsidRPr="001406E8" w:rsidRDefault="00F35544" w:rsidP="00F35544">
            <w:pPr>
              <w:autoSpaceDE w:val="0"/>
              <w:autoSpaceDN w:val="0"/>
              <w:adjustRightInd w:val="0"/>
              <w:spacing w:after="0"/>
              <w:contextualSpacing/>
              <w:jc w:val="center"/>
              <w:rPr>
                <w:rFonts w:cs="Calibri"/>
                <w:color w:val="000000"/>
                <w:szCs w:val="20"/>
                <w:lang w:val="en-GB"/>
              </w:rPr>
            </w:pPr>
          </w:p>
        </w:tc>
      </w:tr>
      <w:tr w:rsidR="00F35544" w:rsidRPr="001406E8" w14:paraId="50543B4D" w14:textId="77777777" w:rsidTr="001406E8">
        <w:trPr>
          <w:trHeight w:val="351"/>
        </w:trPr>
        <w:tc>
          <w:tcPr>
            <w:tcW w:w="8364" w:type="dxa"/>
          </w:tcPr>
          <w:p w14:paraId="6EADFA1D" w14:textId="77777777" w:rsidR="00F35544" w:rsidRPr="001406E8" w:rsidRDefault="00F35544" w:rsidP="00F35544">
            <w:pPr>
              <w:autoSpaceDE w:val="0"/>
              <w:autoSpaceDN w:val="0"/>
              <w:adjustRightInd w:val="0"/>
              <w:spacing w:after="0"/>
              <w:contextualSpacing/>
              <w:rPr>
                <w:rFonts w:cs="Calibri"/>
                <w:color w:val="000000"/>
                <w:szCs w:val="20"/>
                <w:lang w:val="en-GB"/>
              </w:rPr>
            </w:pPr>
            <w:r w:rsidRPr="001406E8">
              <w:rPr>
                <w:rFonts w:cs="Calibri"/>
                <w:color w:val="000000"/>
                <w:szCs w:val="20"/>
                <w:lang w:val="en-GB"/>
              </w:rPr>
              <w:t>Reporting on the iXBRL tagging of financial statements in accordance with the European Single Electronic Format for annual financial reports.</w:t>
            </w:r>
          </w:p>
        </w:tc>
        <w:tc>
          <w:tcPr>
            <w:tcW w:w="992" w:type="dxa"/>
          </w:tcPr>
          <w:p w14:paraId="2361245F" w14:textId="77777777" w:rsidR="00F35544" w:rsidRPr="001406E8" w:rsidRDefault="00F35544" w:rsidP="00F35544">
            <w:pPr>
              <w:spacing w:after="0"/>
              <w:contextualSpacing/>
              <w:jc w:val="center"/>
              <w:rPr>
                <w:rFonts w:cs="Calibri"/>
                <w:szCs w:val="20"/>
                <w:lang w:val="en-GB"/>
              </w:rPr>
            </w:pPr>
            <w:r w:rsidRPr="001406E8">
              <w:rPr>
                <w:rFonts w:cs="Calibri"/>
                <w:color w:val="000000"/>
                <w:szCs w:val="20"/>
                <w:lang w:val="en-GB"/>
              </w:rPr>
              <w:t>Yes</w:t>
            </w:r>
          </w:p>
        </w:tc>
        <w:tc>
          <w:tcPr>
            <w:tcW w:w="992" w:type="dxa"/>
          </w:tcPr>
          <w:p w14:paraId="60BD1179" w14:textId="77777777" w:rsidR="00F35544" w:rsidRPr="001406E8" w:rsidRDefault="00F35544" w:rsidP="00F35544">
            <w:pPr>
              <w:autoSpaceDE w:val="0"/>
              <w:autoSpaceDN w:val="0"/>
              <w:adjustRightInd w:val="0"/>
              <w:spacing w:after="0"/>
              <w:contextualSpacing/>
              <w:jc w:val="center"/>
              <w:rPr>
                <w:rFonts w:cs="Calibri"/>
                <w:color w:val="000000"/>
                <w:szCs w:val="20"/>
                <w:lang w:val="en-GB"/>
              </w:rPr>
            </w:pPr>
          </w:p>
        </w:tc>
      </w:tr>
      <w:tr w:rsidR="00F35544" w:rsidRPr="001406E8" w14:paraId="16237D64" w14:textId="77777777" w:rsidTr="001406E8">
        <w:trPr>
          <w:trHeight w:val="351"/>
        </w:trPr>
        <w:tc>
          <w:tcPr>
            <w:tcW w:w="8364" w:type="dxa"/>
          </w:tcPr>
          <w:p w14:paraId="4A73EBD6" w14:textId="77777777" w:rsidR="00F35544" w:rsidRPr="001406E8" w:rsidRDefault="00F35544" w:rsidP="00F35544">
            <w:pPr>
              <w:autoSpaceDE w:val="0"/>
              <w:autoSpaceDN w:val="0"/>
              <w:adjustRightInd w:val="0"/>
              <w:spacing w:after="0"/>
              <w:contextualSpacing/>
              <w:rPr>
                <w:rFonts w:cs="Calibri"/>
                <w:color w:val="000000"/>
                <w:szCs w:val="20"/>
                <w:lang w:val="en-GB"/>
              </w:rPr>
            </w:pPr>
            <w:r w:rsidRPr="001406E8">
              <w:rPr>
                <w:rFonts w:cs="Calibri"/>
                <w:color w:val="000000"/>
                <w:szCs w:val="20"/>
                <w:lang w:val="en-GB"/>
              </w:rPr>
              <w:t>Reports, required by or supplied to competent authorities/regulators supervising the audited entity, where the authority/regulator has either specified the auditor to provide the service or identified to the entity that the auditor would be an appropriate choice for service provider.</w:t>
            </w:r>
          </w:p>
        </w:tc>
        <w:tc>
          <w:tcPr>
            <w:tcW w:w="992" w:type="dxa"/>
          </w:tcPr>
          <w:p w14:paraId="5C2B5C0A" w14:textId="77777777" w:rsidR="00F35544" w:rsidRPr="001406E8" w:rsidRDefault="00F35544" w:rsidP="00F35544">
            <w:pPr>
              <w:spacing w:after="0"/>
              <w:contextualSpacing/>
              <w:jc w:val="center"/>
              <w:rPr>
                <w:rFonts w:cs="Calibri"/>
                <w:szCs w:val="20"/>
                <w:lang w:val="en-GB"/>
              </w:rPr>
            </w:pPr>
            <w:r w:rsidRPr="001406E8">
              <w:rPr>
                <w:rFonts w:cs="Calibri"/>
                <w:color w:val="000000"/>
                <w:szCs w:val="20"/>
                <w:lang w:val="en-GB"/>
              </w:rPr>
              <w:t>Yes</w:t>
            </w:r>
          </w:p>
        </w:tc>
        <w:tc>
          <w:tcPr>
            <w:tcW w:w="992" w:type="dxa"/>
          </w:tcPr>
          <w:p w14:paraId="0676C9AC" w14:textId="77777777" w:rsidR="00F35544" w:rsidRPr="001406E8" w:rsidRDefault="00F35544" w:rsidP="00F35544">
            <w:pPr>
              <w:autoSpaceDE w:val="0"/>
              <w:autoSpaceDN w:val="0"/>
              <w:adjustRightInd w:val="0"/>
              <w:spacing w:after="0"/>
              <w:contextualSpacing/>
              <w:jc w:val="center"/>
              <w:rPr>
                <w:rFonts w:cs="Calibri"/>
                <w:color w:val="000000"/>
                <w:szCs w:val="20"/>
                <w:lang w:val="en-GB"/>
              </w:rPr>
            </w:pPr>
          </w:p>
        </w:tc>
      </w:tr>
      <w:tr w:rsidR="00F35544" w:rsidRPr="001406E8" w14:paraId="57BE5233" w14:textId="77777777" w:rsidTr="001406E8">
        <w:trPr>
          <w:trHeight w:val="351"/>
        </w:trPr>
        <w:tc>
          <w:tcPr>
            <w:tcW w:w="8364" w:type="dxa"/>
          </w:tcPr>
          <w:p w14:paraId="6A8E17C1" w14:textId="77777777" w:rsidR="00F35544" w:rsidRPr="001406E8" w:rsidRDefault="00F35544" w:rsidP="00F35544">
            <w:pPr>
              <w:autoSpaceDE w:val="0"/>
              <w:autoSpaceDN w:val="0"/>
              <w:adjustRightInd w:val="0"/>
              <w:spacing w:after="0"/>
              <w:contextualSpacing/>
              <w:rPr>
                <w:rFonts w:cs="Calibri"/>
                <w:color w:val="000000"/>
                <w:szCs w:val="20"/>
                <w:lang w:val="en-GB"/>
              </w:rPr>
            </w:pPr>
            <w:r w:rsidRPr="001406E8">
              <w:rPr>
                <w:rFonts w:cs="Calibri"/>
                <w:color w:val="000000"/>
                <w:szCs w:val="20"/>
                <w:lang w:val="en-GB"/>
              </w:rPr>
              <w:t xml:space="preserve">Services which support the entity in fulfilling an obligation required by UK law or regulation, including listing requirements where: </w:t>
            </w:r>
          </w:p>
          <w:p w14:paraId="68322A51" w14:textId="77777777" w:rsidR="00F35544" w:rsidRPr="001406E8" w:rsidRDefault="00F35544" w:rsidP="00F35544">
            <w:pPr>
              <w:numPr>
                <w:ilvl w:val="0"/>
                <w:numId w:val="19"/>
              </w:numPr>
              <w:autoSpaceDE w:val="0"/>
              <w:autoSpaceDN w:val="0"/>
              <w:adjustRightInd w:val="0"/>
              <w:spacing w:after="0"/>
              <w:contextualSpacing/>
              <w:rPr>
                <w:rFonts w:cs="Calibri"/>
                <w:color w:val="000000"/>
                <w:szCs w:val="20"/>
                <w:lang w:val="en-GB"/>
              </w:rPr>
            </w:pPr>
            <w:r w:rsidRPr="001406E8">
              <w:rPr>
                <w:rFonts w:cs="Calibri"/>
                <w:color w:val="000000"/>
                <w:szCs w:val="20"/>
                <w:lang w:val="en-GB"/>
              </w:rPr>
              <w:t xml:space="preserve">the provision of such services is time </w:t>
            </w:r>
            <w:proofErr w:type="gramStart"/>
            <w:r w:rsidRPr="001406E8">
              <w:rPr>
                <w:rFonts w:cs="Calibri"/>
                <w:color w:val="000000"/>
                <w:szCs w:val="20"/>
                <w:lang w:val="en-GB"/>
              </w:rPr>
              <w:t>critical;</w:t>
            </w:r>
            <w:proofErr w:type="gramEnd"/>
            <w:r w:rsidRPr="001406E8">
              <w:rPr>
                <w:rFonts w:cs="Calibri"/>
                <w:color w:val="000000"/>
                <w:szCs w:val="20"/>
                <w:lang w:val="en-GB"/>
              </w:rPr>
              <w:t xml:space="preserve"> </w:t>
            </w:r>
          </w:p>
          <w:p w14:paraId="678E5225" w14:textId="77777777" w:rsidR="00F35544" w:rsidRPr="001406E8" w:rsidRDefault="00F35544" w:rsidP="00F35544">
            <w:pPr>
              <w:numPr>
                <w:ilvl w:val="0"/>
                <w:numId w:val="19"/>
              </w:numPr>
              <w:autoSpaceDE w:val="0"/>
              <w:autoSpaceDN w:val="0"/>
              <w:adjustRightInd w:val="0"/>
              <w:spacing w:after="0"/>
              <w:contextualSpacing/>
              <w:rPr>
                <w:rFonts w:cs="Calibri"/>
                <w:color w:val="000000"/>
                <w:szCs w:val="20"/>
                <w:lang w:val="en-GB"/>
              </w:rPr>
            </w:pPr>
            <w:r w:rsidRPr="001406E8">
              <w:rPr>
                <w:rFonts w:cs="Calibri"/>
                <w:color w:val="000000"/>
                <w:szCs w:val="20"/>
                <w:lang w:val="en-GB"/>
              </w:rPr>
              <w:t xml:space="preserve">the subject matter of the engagement is price sensitive; and </w:t>
            </w:r>
          </w:p>
          <w:p w14:paraId="59F244C9" w14:textId="77777777" w:rsidR="00F35544" w:rsidRPr="001406E8" w:rsidRDefault="00F35544" w:rsidP="00F35544">
            <w:pPr>
              <w:numPr>
                <w:ilvl w:val="0"/>
                <w:numId w:val="19"/>
              </w:numPr>
              <w:autoSpaceDE w:val="0"/>
              <w:autoSpaceDN w:val="0"/>
              <w:adjustRightInd w:val="0"/>
              <w:spacing w:after="0"/>
              <w:contextualSpacing/>
              <w:rPr>
                <w:rFonts w:cs="Calibri"/>
                <w:color w:val="000000"/>
                <w:szCs w:val="20"/>
                <w:lang w:val="en-GB"/>
              </w:rPr>
            </w:pPr>
            <w:r w:rsidRPr="001406E8">
              <w:rPr>
                <w:rFonts w:cs="Calibri"/>
                <w:color w:val="000000"/>
                <w:szCs w:val="20"/>
                <w:lang w:val="en-GB"/>
              </w:rPr>
              <w:t>it is probable that an objective, reasonable and informed third party would conclude that the understanding of the entity obtained by the auditor for the audit of the financial statements is relevant to the service, and where the nature of the service would not compromise independence</w:t>
            </w:r>
            <w:r w:rsidR="00093872" w:rsidRPr="001406E8">
              <w:rPr>
                <w:rFonts w:cs="Calibri"/>
                <w:color w:val="000000"/>
                <w:szCs w:val="20"/>
                <w:lang w:val="en-GB"/>
              </w:rPr>
              <w:t>.</w:t>
            </w:r>
          </w:p>
        </w:tc>
        <w:tc>
          <w:tcPr>
            <w:tcW w:w="992" w:type="dxa"/>
          </w:tcPr>
          <w:p w14:paraId="3E45A9B6" w14:textId="77777777" w:rsidR="00F35544" w:rsidRPr="001406E8" w:rsidRDefault="00F35544" w:rsidP="00F35544">
            <w:pPr>
              <w:autoSpaceDE w:val="0"/>
              <w:autoSpaceDN w:val="0"/>
              <w:adjustRightInd w:val="0"/>
              <w:spacing w:after="0"/>
              <w:contextualSpacing/>
              <w:jc w:val="center"/>
              <w:rPr>
                <w:rFonts w:cs="Calibri"/>
                <w:color w:val="000000"/>
                <w:szCs w:val="20"/>
                <w:lang w:val="en-GB"/>
              </w:rPr>
            </w:pPr>
            <w:r w:rsidRPr="001406E8">
              <w:rPr>
                <w:rFonts w:cs="Calibri"/>
                <w:color w:val="000000"/>
                <w:szCs w:val="20"/>
                <w:lang w:val="en-GB"/>
              </w:rPr>
              <w:t>Yes</w:t>
            </w:r>
          </w:p>
        </w:tc>
        <w:tc>
          <w:tcPr>
            <w:tcW w:w="992" w:type="dxa"/>
          </w:tcPr>
          <w:p w14:paraId="118C8B07" w14:textId="77777777" w:rsidR="00F35544" w:rsidRPr="001406E8" w:rsidRDefault="00F35544" w:rsidP="00F35544">
            <w:pPr>
              <w:autoSpaceDE w:val="0"/>
              <w:autoSpaceDN w:val="0"/>
              <w:adjustRightInd w:val="0"/>
              <w:spacing w:after="0"/>
              <w:contextualSpacing/>
              <w:jc w:val="center"/>
              <w:rPr>
                <w:rFonts w:cs="Calibri"/>
                <w:color w:val="000000"/>
                <w:szCs w:val="20"/>
                <w:lang w:val="en-GB"/>
              </w:rPr>
            </w:pPr>
          </w:p>
        </w:tc>
      </w:tr>
      <w:tr w:rsidR="00F35544" w:rsidRPr="001406E8" w14:paraId="49F8233E" w14:textId="77777777" w:rsidTr="001406E8">
        <w:trPr>
          <w:trHeight w:val="351"/>
        </w:trPr>
        <w:tc>
          <w:tcPr>
            <w:tcW w:w="8364" w:type="dxa"/>
          </w:tcPr>
          <w:p w14:paraId="3B645362" w14:textId="77777777" w:rsidR="00F35544" w:rsidRPr="001406E8" w:rsidRDefault="00F35544" w:rsidP="00F35544">
            <w:pPr>
              <w:autoSpaceDE w:val="0"/>
              <w:autoSpaceDN w:val="0"/>
              <w:adjustRightInd w:val="0"/>
              <w:spacing w:after="0"/>
              <w:contextualSpacing/>
              <w:rPr>
                <w:rFonts w:cs="Calibri"/>
                <w:color w:val="000000"/>
                <w:szCs w:val="20"/>
                <w:lang w:val="en-GB"/>
              </w:rPr>
            </w:pPr>
            <w:r w:rsidRPr="001406E8">
              <w:rPr>
                <w:rFonts w:cs="Calibri"/>
                <w:color w:val="000000"/>
                <w:szCs w:val="20"/>
                <w:lang w:val="en-GB"/>
              </w:rPr>
              <w:t>Reviews of interim financial information; and providing verification of interim profits not otherwise required by law or regulation.</w:t>
            </w:r>
          </w:p>
        </w:tc>
        <w:tc>
          <w:tcPr>
            <w:tcW w:w="992" w:type="dxa"/>
          </w:tcPr>
          <w:p w14:paraId="12DF9CD0" w14:textId="77777777" w:rsidR="00F35544" w:rsidRPr="001406E8" w:rsidRDefault="00F35544" w:rsidP="00F35544">
            <w:pPr>
              <w:autoSpaceDE w:val="0"/>
              <w:autoSpaceDN w:val="0"/>
              <w:adjustRightInd w:val="0"/>
              <w:spacing w:after="0"/>
              <w:contextualSpacing/>
              <w:jc w:val="center"/>
              <w:rPr>
                <w:rFonts w:cs="Calibri"/>
                <w:color w:val="000000"/>
                <w:szCs w:val="20"/>
                <w:lang w:val="en-GB"/>
              </w:rPr>
            </w:pPr>
          </w:p>
        </w:tc>
        <w:tc>
          <w:tcPr>
            <w:tcW w:w="992" w:type="dxa"/>
          </w:tcPr>
          <w:p w14:paraId="278F929C" w14:textId="77777777" w:rsidR="00F35544" w:rsidRPr="001406E8" w:rsidRDefault="00F35544" w:rsidP="00F35544">
            <w:pPr>
              <w:autoSpaceDE w:val="0"/>
              <w:autoSpaceDN w:val="0"/>
              <w:adjustRightInd w:val="0"/>
              <w:spacing w:after="0"/>
              <w:contextualSpacing/>
              <w:jc w:val="center"/>
              <w:rPr>
                <w:rFonts w:cs="Calibri"/>
                <w:color w:val="000000"/>
                <w:szCs w:val="20"/>
                <w:lang w:val="en-GB"/>
              </w:rPr>
            </w:pPr>
            <w:r w:rsidRPr="001406E8">
              <w:rPr>
                <w:rFonts w:cs="Calibri"/>
                <w:color w:val="000000"/>
                <w:szCs w:val="20"/>
                <w:lang w:val="en-GB"/>
              </w:rPr>
              <w:t>Yes</w:t>
            </w:r>
          </w:p>
        </w:tc>
      </w:tr>
      <w:tr w:rsidR="00F35544" w:rsidRPr="001406E8" w14:paraId="027F6AD1" w14:textId="77777777" w:rsidTr="001406E8">
        <w:trPr>
          <w:trHeight w:val="351"/>
        </w:trPr>
        <w:tc>
          <w:tcPr>
            <w:tcW w:w="8364" w:type="dxa"/>
          </w:tcPr>
          <w:p w14:paraId="4F6CE0AF" w14:textId="77777777" w:rsidR="00F35544" w:rsidRPr="001406E8" w:rsidRDefault="00F35544" w:rsidP="00F35544">
            <w:pPr>
              <w:autoSpaceDE w:val="0"/>
              <w:autoSpaceDN w:val="0"/>
              <w:adjustRightInd w:val="0"/>
              <w:spacing w:after="0"/>
              <w:contextualSpacing/>
              <w:rPr>
                <w:rFonts w:cs="Calibri"/>
                <w:color w:val="000000"/>
                <w:szCs w:val="20"/>
                <w:lang w:val="en-GB"/>
              </w:rPr>
            </w:pPr>
            <w:r w:rsidRPr="001406E8">
              <w:rPr>
                <w:rFonts w:cs="Calibri"/>
                <w:color w:val="000000"/>
                <w:szCs w:val="20"/>
                <w:lang w:val="en-GB"/>
              </w:rPr>
              <w:t>Where not otherwise required by law or regulation, non</w:t>
            </w:r>
            <w:r w:rsidRPr="001406E8">
              <w:rPr>
                <w:rFonts w:ascii="Cambria Math" w:hAnsi="Cambria Math" w:cs="Cambria Math"/>
                <w:color w:val="000000"/>
                <w:szCs w:val="20"/>
                <w:lang w:val="en-GB"/>
              </w:rPr>
              <w:t>‑</w:t>
            </w:r>
            <w:r w:rsidRPr="001406E8">
              <w:rPr>
                <w:rFonts w:cs="Calibri"/>
                <w:color w:val="000000"/>
                <w:szCs w:val="20"/>
                <w:lang w:val="en-GB"/>
              </w:rPr>
              <w:t>audit and additional services, as defined in this Ethical Standard provided as auditor of the entity, or as reporting accountant, in relation to information of the audited entity for which it is probable that an objective, reasonable and informed third party would conclude that the understanding of the entity obtained by the auditor is relevant to the service, and where the nature of the service would not compromise independence.</w:t>
            </w:r>
          </w:p>
        </w:tc>
        <w:tc>
          <w:tcPr>
            <w:tcW w:w="992" w:type="dxa"/>
          </w:tcPr>
          <w:p w14:paraId="1EF46747" w14:textId="77777777" w:rsidR="00F35544" w:rsidRPr="001406E8" w:rsidRDefault="00F35544" w:rsidP="00F35544">
            <w:pPr>
              <w:autoSpaceDE w:val="0"/>
              <w:autoSpaceDN w:val="0"/>
              <w:adjustRightInd w:val="0"/>
              <w:spacing w:after="0"/>
              <w:contextualSpacing/>
              <w:jc w:val="center"/>
              <w:rPr>
                <w:rFonts w:cs="Calibri"/>
                <w:color w:val="000000"/>
                <w:szCs w:val="20"/>
                <w:lang w:val="en-GB"/>
              </w:rPr>
            </w:pPr>
          </w:p>
        </w:tc>
        <w:tc>
          <w:tcPr>
            <w:tcW w:w="992" w:type="dxa"/>
          </w:tcPr>
          <w:p w14:paraId="212AD022" w14:textId="77777777" w:rsidR="00F35544" w:rsidRPr="001406E8" w:rsidRDefault="00F35544" w:rsidP="00F35544">
            <w:pPr>
              <w:spacing w:after="0"/>
              <w:contextualSpacing/>
              <w:jc w:val="center"/>
              <w:rPr>
                <w:rFonts w:cs="Calibri"/>
                <w:szCs w:val="20"/>
                <w:lang w:val="en-GB"/>
              </w:rPr>
            </w:pPr>
            <w:r w:rsidRPr="001406E8">
              <w:rPr>
                <w:rFonts w:cs="Calibri"/>
                <w:color w:val="000000"/>
                <w:szCs w:val="20"/>
                <w:lang w:val="en-GB"/>
              </w:rPr>
              <w:t>Yes</w:t>
            </w:r>
          </w:p>
        </w:tc>
      </w:tr>
      <w:tr w:rsidR="00F35544" w:rsidRPr="001406E8" w14:paraId="5DDB4CDF" w14:textId="77777777" w:rsidTr="001406E8">
        <w:trPr>
          <w:trHeight w:val="351"/>
        </w:trPr>
        <w:tc>
          <w:tcPr>
            <w:tcW w:w="8364" w:type="dxa"/>
          </w:tcPr>
          <w:p w14:paraId="6D318BD2" w14:textId="77777777" w:rsidR="00F35544" w:rsidRPr="001406E8" w:rsidRDefault="00F35544" w:rsidP="00F35544">
            <w:pPr>
              <w:autoSpaceDE w:val="0"/>
              <w:autoSpaceDN w:val="0"/>
              <w:adjustRightInd w:val="0"/>
              <w:spacing w:after="0"/>
              <w:contextualSpacing/>
              <w:rPr>
                <w:rFonts w:cs="Calibri"/>
                <w:color w:val="000000"/>
                <w:szCs w:val="20"/>
                <w:lang w:val="en-GB"/>
              </w:rPr>
            </w:pPr>
            <w:r w:rsidRPr="001406E8">
              <w:rPr>
                <w:rFonts w:cs="Calibri"/>
                <w:color w:val="000000"/>
                <w:szCs w:val="20"/>
                <w:lang w:val="en-GB"/>
              </w:rPr>
              <w:t>Extended audit or assurance work that is authorised by those charged with governance performed on financial or performance information and/or financial or operational controls, in the audited entity or a third</w:t>
            </w:r>
            <w:r w:rsidRPr="001406E8">
              <w:rPr>
                <w:rFonts w:cs="Calibri"/>
                <w:color w:val="000000"/>
                <w:szCs w:val="20"/>
                <w:lang w:val="en-GB"/>
              </w:rPr>
              <w:noBreakHyphen/>
              <w:t xml:space="preserve">party service provider, where this work is closely linked with the audit work. </w:t>
            </w:r>
          </w:p>
        </w:tc>
        <w:tc>
          <w:tcPr>
            <w:tcW w:w="992" w:type="dxa"/>
          </w:tcPr>
          <w:p w14:paraId="20CDE477" w14:textId="77777777" w:rsidR="00F35544" w:rsidRPr="001406E8" w:rsidRDefault="00F35544" w:rsidP="00F35544">
            <w:pPr>
              <w:autoSpaceDE w:val="0"/>
              <w:autoSpaceDN w:val="0"/>
              <w:adjustRightInd w:val="0"/>
              <w:spacing w:after="0"/>
              <w:contextualSpacing/>
              <w:jc w:val="center"/>
              <w:rPr>
                <w:rFonts w:cs="Calibri"/>
                <w:color w:val="000000"/>
                <w:szCs w:val="20"/>
                <w:lang w:val="en-GB"/>
              </w:rPr>
            </w:pPr>
          </w:p>
        </w:tc>
        <w:tc>
          <w:tcPr>
            <w:tcW w:w="992" w:type="dxa"/>
          </w:tcPr>
          <w:p w14:paraId="15C2664D" w14:textId="77777777" w:rsidR="00F35544" w:rsidRPr="001406E8" w:rsidRDefault="00F35544" w:rsidP="00F35544">
            <w:pPr>
              <w:spacing w:after="0"/>
              <w:contextualSpacing/>
              <w:jc w:val="center"/>
              <w:rPr>
                <w:rFonts w:cs="Calibri"/>
                <w:szCs w:val="20"/>
                <w:lang w:val="en-GB"/>
              </w:rPr>
            </w:pPr>
            <w:r w:rsidRPr="001406E8">
              <w:rPr>
                <w:rFonts w:cs="Calibri"/>
                <w:color w:val="000000"/>
                <w:szCs w:val="20"/>
                <w:lang w:val="en-GB"/>
              </w:rPr>
              <w:t>Yes</w:t>
            </w:r>
          </w:p>
        </w:tc>
      </w:tr>
      <w:tr w:rsidR="00F35544" w:rsidRPr="001406E8" w14:paraId="69882898" w14:textId="77777777" w:rsidTr="001406E8">
        <w:trPr>
          <w:trHeight w:val="351"/>
        </w:trPr>
        <w:tc>
          <w:tcPr>
            <w:tcW w:w="8364" w:type="dxa"/>
          </w:tcPr>
          <w:p w14:paraId="4120E9FE" w14:textId="77777777" w:rsidR="00F35544" w:rsidRPr="001406E8" w:rsidRDefault="00F35544" w:rsidP="00F35544">
            <w:pPr>
              <w:autoSpaceDE w:val="0"/>
              <w:autoSpaceDN w:val="0"/>
              <w:adjustRightInd w:val="0"/>
              <w:spacing w:after="0"/>
              <w:contextualSpacing/>
              <w:rPr>
                <w:rFonts w:cs="Calibri"/>
                <w:color w:val="000000"/>
                <w:szCs w:val="20"/>
                <w:lang w:val="en-GB"/>
              </w:rPr>
            </w:pPr>
            <w:r w:rsidRPr="001406E8">
              <w:rPr>
                <w:rFonts w:cs="Calibri"/>
                <w:color w:val="000000"/>
                <w:szCs w:val="20"/>
                <w:lang w:val="en-GB"/>
              </w:rPr>
              <w:t>Additional assurance work or agreed upon procedures authorised by those charged with governance performed on material included within or referenced from the annual report</w:t>
            </w:r>
          </w:p>
        </w:tc>
        <w:tc>
          <w:tcPr>
            <w:tcW w:w="992" w:type="dxa"/>
          </w:tcPr>
          <w:p w14:paraId="26BD8D17" w14:textId="77777777" w:rsidR="00F35544" w:rsidRPr="001406E8" w:rsidRDefault="00F35544" w:rsidP="00F35544">
            <w:pPr>
              <w:autoSpaceDE w:val="0"/>
              <w:autoSpaceDN w:val="0"/>
              <w:adjustRightInd w:val="0"/>
              <w:spacing w:after="0"/>
              <w:contextualSpacing/>
              <w:jc w:val="center"/>
              <w:rPr>
                <w:rFonts w:cs="Calibri"/>
                <w:color w:val="000000"/>
                <w:szCs w:val="20"/>
                <w:lang w:val="en-GB"/>
              </w:rPr>
            </w:pPr>
          </w:p>
        </w:tc>
        <w:tc>
          <w:tcPr>
            <w:tcW w:w="992" w:type="dxa"/>
          </w:tcPr>
          <w:p w14:paraId="50DA80B3" w14:textId="77777777" w:rsidR="00F35544" w:rsidRPr="001406E8" w:rsidRDefault="00F35544" w:rsidP="00F35544">
            <w:pPr>
              <w:spacing w:after="0"/>
              <w:contextualSpacing/>
              <w:jc w:val="center"/>
              <w:rPr>
                <w:rFonts w:cs="Calibri"/>
                <w:szCs w:val="20"/>
                <w:lang w:val="en-GB"/>
              </w:rPr>
            </w:pPr>
            <w:r w:rsidRPr="001406E8">
              <w:rPr>
                <w:rFonts w:cs="Calibri"/>
                <w:color w:val="000000"/>
                <w:szCs w:val="20"/>
                <w:lang w:val="en-GB"/>
              </w:rPr>
              <w:t>Yes</w:t>
            </w:r>
          </w:p>
        </w:tc>
      </w:tr>
      <w:tr w:rsidR="00F35544" w:rsidRPr="001406E8" w14:paraId="737E4DFB" w14:textId="77777777" w:rsidTr="001406E8">
        <w:trPr>
          <w:trHeight w:val="351"/>
        </w:trPr>
        <w:tc>
          <w:tcPr>
            <w:tcW w:w="8364" w:type="dxa"/>
          </w:tcPr>
          <w:p w14:paraId="278A39B2" w14:textId="77777777" w:rsidR="00F35544" w:rsidRPr="001406E8" w:rsidRDefault="00F35544" w:rsidP="00F35544">
            <w:pPr>
              <w:autoSpaceDE w:val="0"/>
              <w:autoSpaceDN w:val="0"/>
              <w:adjustRightInd w:val="0"/>
              <w:spacing w:after="0"/>
              <w:contextualSpacing/>
              <w:rPr>
                <w:rFonts w:cs="Calibri"/>
                <w:color w:val="000000"/>
                <w:szCs w:val="20"/>
                <w:lang w:val="en-GB"/>
              </w:rPr>
            </w:pPr>
            <w:r w:rsidRPr="001406E8">
              <w:rPr>
                <w:rFonts w:cs="Calibri"/>
                <w:color w:val="000000"/>
                <w:szCs w:val="20"/>
                <w:lang w:val="en-GB"/>
              </w:rPr>
              <w:t>Reporting on government grants.</w:t>
            </w:r>
          </w:p>
        </w:tc>
        <w:tc>
          <w:tcPr>
            <w:tcW w:w="992" w:type="dxa"/>
          </w:tcPr>
          <w:p w14:paraId="7CD41968" w14:textId="77777777" w:rsidR="00F35544" w:rsidRPr="001406E8" w:rsidRDefault="00F35544" w:rsidP="00F35544">
            <w:pPr>
              <w:autoSpaceDE w:val="0"/>
              <w:autoSpaceDN w:val="0"/>
              <w:adjustRightInd w:val="0"/>
              <w:spacing w:after="0"/>
              <w:contextualSpacing/>
              <w:jc w:val="center"/>
              <w:rPr>
                <w:rFonts w:cs="Calibri"/>
                <w:color w:val="000000"/>
                <w:szCs w:val="20"/>
                <w:lang w:val="en-GB"/>
              </w:rPr>
            </w:pPr>
          </w:p>
        </w:tc>
        <w:tc>
          <w:tcPr>
            <w:tcW w:w="992" w:type="dxa"/>
          </w:tcPr>
          <w:p w14:paraId="6FDFB060" w14:textId="77777777" w:rsidR="00F35544" w:rsidRPr="001406E8" w:rsidRDefault="00F35544" w:rsidP="00F35544">
            <w:pPr>
              <w:spacing w:after="0"/>
              <w:contextualSpacing/>
              <w:jc w:val="center"/>
              <w:rPr>
                <w:rFonts w:cs="Calibri"/>
                <w:szCs w:val="20"/>
                <w:lang w:val="en-GB"/>
              </w:rPr>
            </w:pPr>
            <w:r w:rsidRPr="001406E8">
              <w:rPr>
                <w:rFonts w:cs="Calibri"/>
                <w:color w:val="000000"/>
                <w:szCs w:val="20"/>
                <w:lang w:val="en-GB"/>
              </w:rPr>
              <w:t>Yes</w:t>
            </w:r>
          </w:p>
        </w:tc>
      </w:tr>
      <w:tr w:rsidR="00F35544" w:rsidRPr="001406E8" w14:paraId="393CB307" w14:textId="77777777" w:rsidTr="001406E8">
        <w:trPr>
          <w:trHeight w:val="351"/>
        </w:trPr>
        <w:tc>
          <w:tcPr>
            <w:tcW w:w="8364" w:type="dxa"/>
          </w:tcPr>
          <w:p w14:paraId="4F8280CE" w14:textId="77777777" w:rsidR="00F35544" w:rsidRPr="001406E8" w:rsidRDefault="00F35544" w:rsidP="00F35544">
            <w:pPr>
              <w:autoSpaceDE w:val="0"/>
              <w:autoSpaceDN w:val="0"/>
              <w:adjustRightInd w:val="0"/>
              <w:spacing w:after="0"/>
              <w:contextualSpacing/>
              <w:rPr>
                <w:rFonts w:cs="Calibri"/>
                <w:color w:val="000000"/>
                <w:szCs w:val="20"/>
                <w:lang w:val="en-GB"/>
              </w:rPr>
            </w:pPr>
            <w:r w:rsidRPr="001406E8">
              <w:rPr>
                <w:rFonts w:cs="Calibri"/>
                <w:color w:val="000000"/>
                <w:szCs w:val="20"/>
                <w:lang w:val="en-GB"/>
              </w:rPr>
              <w:t>Reporting on covenant or loan agreements which require independent verification and other reporting to third parties with whom the audited entity has a business relationship in accordance with Appendix C of this Ethical Standard.</w:t>
            </w:r>
          </w:p>
        </w:tc>
        <w:tc>
          <w:tcPr>
            <w:tcW w:w="992" w:type="dxa"/>
          </w:tcPr>
          <w:p w14:paraId="5C944AF5" w14:textId="77777777" w:rsidR="00F35544" w:rsidRPr="001406E8" w:rsidRDefault="00F35544" w:rsidP="00F35544">
            <w:pPr>
              <w:autoSpaceDE w:val="0"/>
              <w:autoSpaceDN w:val="0"/>
              <w:adjustRightInd w:val="0"/>
              <w:spacing w:after="0"/>
              <w:contextualSpacing/>
              <w:jc w:val="center"/>
              <w:rPr>
                <w:rFonts w:cs="Calibri"/>
                <w:color w:val="000000"/>
                <w:szCs w:val="20"/>
                <w:lang w:val="en-GB"/>
              </w:rPr>
            </w:pPr>
          </w:p>
        </w:tc>
        <w:tc>
          <w:tcPr>
            <w:tcW w:w="992" w:type="dxa"/>
          </w:tcPr>
          <w:p w14:paraId="400C76F7" w14:textId="77777777" w:rsidR="00F35544" w:rsidRPr="001406E8" w:rsidRDefault="00F35544" w:rsidP="00F35544">
            <w:pPr>
              <w:spacing w:after="0"/>
              <w:contextualSpacing/>
              <w:jc w:val="center"/>
              <w:rPr>
                <w:rFonts w:cs="Calibri"/>
                <w:szCs w:val="20"/>
                <w:lang w:val="en-GB"/>
              </w:rPr>
            </w:pPr>
            <w:r w:rsidRPr="001406E8">
              <w:rPr>
                <w:rFonts w:cs="Calibri"/>
                <w:color w:val="000000"/>
                <w:szCs w:val="20"/>
                <w:lang w:val="en-GB"/>
              </w:rPr>
              <w:t>Yes</w:t>
            </w:r>
          </w:p>
        </w:tc>
      </w:tr>
      <w:tr w:rsidR="00F35544" w:rsidRPr="001406E8" w14:paraId="420146D4" w14:textId="77777777" w:rsidTr="001406E8">
        <w:trPr>
          <w:trHeight w:val="351"/>
        </w:trPr>
        <w:tc>
          <w:tcPr>
            <w:tcW w:w="8364" w:type="dxa"/>
          </w:tcPr>
          <w:p w14:paraId="68ACF074" w14:textId="77777777" w:rsidR="00F35544" w:rsidRPr="001406E8" w:rsidRDefault="00F35544" w:rsidP="00F35544">
            <w:pPr>
              <w:autoSpaceDE w:val="0"/>
              <w:autoSpaceDN w:val="0"/>
              <w:adjustRightInd w:val="0"/>
              <w:spacing w:after="0"/>
              <w:contextualSpacing/>
              <w:rPr>
                <w:rFonts w:cs="Calibri"/>
                <w:color w:val="000000"/>
                <w:szCs w:val="20"/>
                <w:lang w:val="en-GB"/>
              </w:rPr>
            </w:pPr>
            <w:r w:rsidRPr="001406E8">
              <w:rPr>
                <w:rFonts w:cs="Calibri"/>
                <w:color w:val="000000"/>
                <w:szCs w:val="20"/>
                <w:lang w:val="en-GB"/>
              </w:rPr>
              <w:t>Additional assurance work or agreed upon procedures authorised by those charged with governance performed on material included within or referenced from the annual report.</w:t>
            </w:r>
          </w:p>
        </w:tc>
        <w:tc>
          <w:tcPr>
            <w:tcW w:w="992" w:type="dxa"/>
          </w:tcPr>
          <w:p w14:paraId="4D9174F8" w14:textId="77777777" w:rsidR="00F35544" w:rsidRPr="001406E8" w:rsidRDefault="00F35544" w:rsidP="00F35544">
            <w:pPr>
              <w:autoSpaceDE w:val="0"/>
              <w:autoSpaceDN w:val="0"/>
              <w:adjustRightInd w:val="0"/>
              <w:spacing w:after="0"/>
              <w:contextualSpacing/>
              <w:jc w:val="center"/>
              <w:rPr>
                <w:rFonts w:cs="Calibri"/>
                <w:color w:val="000000"/>
                <w:szCs w:val="20"/>
                <w:lang w:val="en-GB"/>
              </w:rPr>
            </w:pPr>
          </w:p>
        </w:tc>
        <w:tc>
          <w:tcPr>
            <w:tcW w:w="992" w:type="dxa"/>
          </w:tcPr>
          <w:p w14:paraId="60413E56" w14:textId="77777777" w:rsidR="00F35544" w:rsidRPr="001406E8" w:rsidRDefault="00F35544" w:rsidP="00F35544">
            <w:pPr>
              <w:spacing w:after="0"/>
              <w:contextualSpacing/>
              <w:jc w:val="center"/>
              <w:rPr>
                <w:rFonts w:cs="Calibri"/>
                <w:szCs w:val="20"/>
                <w:lang w:val="en-GB"/>
              </w:rPr>
            </w:pPr>
            <w:r w:rsidRPr="001406E8">
              <w:rPr>
                <w:rFonts w:cs="Calibri"/>
                <w:color w:val="000000"/>
                <w:szCs w:val="20"/>
                <w:lang w:val="en-GB"/>
              </w:rPr>
              <w:t>Yes</w:t>
            </w:r>
          </w:p>
        </w:tc>
      </w:tr>
      <w:tr w:rsidR="00F35544" w:rsidRPr="001406E8" w14:paraId="35E3964B" w14:textId="77777777" w:rsidTr="001406E8">
        <w:trPr>
          <w:trHeight w:val="351"/>
        </w:trPr>
        <w:tc>
          <w:tcPr>
            <w:tcW w:w="8364" w:type="dxa"/>
          </w:tcPr>
          <w:p w14:paraId="460707D6" w14:textId="77777777" w:rsidR="00F35544" w:rsidRPr="001406E8" w:rsidRDefault="00F35544" w:rsidP="00F35544">
            <w:pPr>
              <w:autoSpaceDE w:val="0"/>
              <w:autoSpaceDN w:val="0"/>
              <w:adjustRightInd w:val="0"/>
              <w:spacing w:after="0"/>
              <w:contextualSpacing/>
              <w:rPr>
                <w:rFonts w:cs="Calibri"/>
                <w:color w:val="000000"/>
                <w:szCs w:val="20"/>
                <w:lang w:val="en-GB"/>
              </w:rPr>
            </w:pPr>
            <w:r w:rsidRPr="001406E8">
              <w:rPr>
                <w:rFonts w:cs="Calibri"/>
                <w:color w:val="000000"/>
                <w:szCs w:val="20"/>
                <w:lang w:val="en-GB"/>
              </w:rPr>
              <w:t>Services which have been the subject of an application to the Competent Authority.</w:t>
            </w:r>
          </w:p>
        </w:tc>
        <w:tc>
          <w:tcPr>
            <w:tcW w:w="992" w:type="dxa"/>
          </w:tcPr>
          <w:p w14:paraId="16C467E6" w14:textId="77777777" w:rsidR="00F35544" w:rsidRPr="001406E8" w:rsidRDefault="00F35544" w:rsidP="00F35544">
            <w:pPr>
              <w:autoSpaceDE w:val="0"/>
              <w:autoSpaceDN w:val="0"/>
              <w:adjustRightInd w:val="0"/>
              <w:spacing w:after="0"/>
              <w:contextualSpacing/>
              <w:jc w:val="center"/>
              <w:rPr>
                <w:rFonts w:cs="Calibri"/>
                <w:color w:val="000000"/>
                <w:szCs w:val="20"/>
                <w:lang w:val="en-GB"/>
              </w:rPr>
            </w:pPr>
          </w:p>
        </w:tc>
        <w:tc>
          <w:tcPr>
            <w:tcW w:w="992" w:type="dxa"/>
          </w:tcPr>
          <w:p w14:paraId="07D29D27" w14:textId="77777777" w:rsidR="00F35544" w:rsidRPr="001406E8" w:rsidRDefault="00F35544" w:rsidP="00F35544">
            <w:pPr>
              <w:autoSpaceDE w:val="0"/>
              <w:autoSpaceDN w:val="0"/>
              <w:adjustRightInd w:val="0"/>
              <w:spacing w:after="0"/>
              <w:contextualSpacing/>
              <w:jc w:val="center"/>
              <w:rPr>
                <w:rFonts w:cs="Calibri"/>
                <w:color w:val="000000"/>
                <w:szCs w:val="20"/>
                <w:lang w:val="en-GB"/>
              </w:rPr>
            </w:pPr>
            <w:r w:rsidRPr="001406E8">
              <w:rPr>
                <w:rFonts w:cs="Calibri"/>
                <w:color w:val="000000"/>
                <w:szCs w:val="20"/>
                <w:lang w:val="en-GB"/>
              </w:rPr>
              <w:t>Yes</w:t>
            </w:r>
          </w:p>
        </w:tc>
      </w:tr>
      <w:tr w:rsidR="00F35544" w:rsidRPr="001406E8" w14:paraId="20E46E65" w14:textId="77777777" w:rsidTr="001406E8">
        <w:trPr>
          <w:trHeight w:val="351"/>
        </w:trPr>
        <w:tc>
          <w:tcPr>
            <w:tcW w:w="8364" w:type="dxa"/>
          </w:tcPr>
          <w:p w14:paraId="77098CC4" w14:textId="77777777" w:rsidR="00F35544" w:rsidRPr="001406E8" w:rsidRDefault="00F35544" w:rsidP="00F35544">
            <w:pPr>
              <w:autoSpaceDE w:val="0"/>
              <w:autoSpaceDN w:val="0"/>
              <w:adjustRightInd w:val="0"/>
              <w:spacing w:after="0"/>
              <w:contextualSpacing/>
              <w:rPr>
                <w:rFonts w:cs="Calibri"/>
                <w:color w:val="000000"/>
                <w:szCs w:val="20"/>
                <w:lang w:val="en-GB"/>
              </w:rPr>
            </w:pPr>
            <w:r w:rsidRPr="001406E8">
              <w:rPr>
                <w:rFonts w:cs="Calibri"/>
                <w:color w:val="000000"/>
                <w:szCs w:val="20"/>
                <w:lang w:val="en-GB"/>
              </w:rPr>
              <w:lastRenderedPageBreak/>
              <w:t>Generic subscriptions providing factual updates of changes to applicable law, regulation or accounting and auditing standards.</w:t>
            </w:r>
          </w:p>
        </w:tc>
        <w:tc>
          <w:tcPr>
            <w:tcW w:w="992" w:type="dxa"/>
          </w:tcPr>
          <w:p w14:paraId="446A2D05" w14:textId="77777777" w:rsidR="00F35544" w:rsidRPr="001406E8" w:rsidRDefault="00F35544" w:rsidP="00F35544">
            <w:pPr>
              <w:autoSpaceDE w:val="0"/>
              <w:autoSpaceDN w:val="0"/>
              <w:adjustRightInd w:val="0"/>
              <w:spacing w:after="0"/>
              <w:contextualSpacing/>
              <w:jc w:val="center"/>
              <w:rPr>
                <w:rFonts w:cs="Calibri"/>
                <w:color w:val="000000"/>
                <w:szCs w:val="20"/>
                <w:lang w:val="en-GB"/>
              </w:rPr>
            </w:pPr>
          </w:p>
        </w:tc>
        <w:tc>
          <w:tcPr>
            <w:tcW w:w="992" w:type="dxa"/>
          </w:tcPr>
          <w:p w14:paraId="384DEF5C" w14:textId="77777777" w:rsidR="00F35544" w:rsidRPr="001406E8" w:rsidRDefault="00F35544" w:rsidP="00F35544">
            <w:pPr>
              <w:autoSpaceDE w:val="0"/>
              <w:autoSpaceDN w:val="0"/>
              <w:adjustRightInd w:val="0"/>
              <w:spacing w:after="0"/>
              <w:contextualSpacing/>
              <w:jc w:val="center"/>
              <w:rPr>
                <w:rFonts w:cs="Calibri"/>
                <w:color w:val="000000"/>
                <w:szCs w:val="20"/>
                <w:lang w:val="en-GB"/>
              </w:rPr>
            </w:pPr>
            <w:r w:rsidRPr="001406E8">
              <w:rPr>
                <w:rFonts w:cs="Calibri"/>
                <w:color w:val="000000"/>
                <w:szCs w:val="20"/>
                <w:lang w:val="en-GB"/>
              </w:rPr>
              <w:t>Yes</w:t>
            </w:r>
          </w:p>
        </w:tc>
      </w:tr>
      <w:tr w:rsidR="00F35544" w:rsidRPr="001406E8" w14:paraId="39F3FD9E" w14:textId="77777777" w:rsidTr="00F35544">
        <w:trPr>
          <w:trHeight w:val="351"/>
        </w:trPr>
        <w:tc>
          <w:tcPr>
            <w:tcW w:w="10348" w:type="dxa"/>
            <w:gridSpan w:val="3"/>
          </w:tcPr>
          <w:p w14:paraId="766BE797" w14:textId="77777777" w:rsidR="00F35544" w:rsidRPr="001406E8" w:rsidRDefault="00F35544" w:rsidP="00F35544">
            <w:pPr>
              <w:autoSpaceDE w:val="0"/>
              <w:autoSpaceDN w:val="0"/>
              <w:adjustRightInd w:val="0"/>
              <w:spacing w:after="0"/>
              <w:contextualSpacing/>
              <w:rPr>
                <w:rFonts w:cs="Calibri"/>
                <w:color w:val="000000"/>
                <w:szCs w:val="20"/>
                <w:lang w:val="en-GB"/>
              </w:rPr>
            </w:pPr>
            <w:r w:rsidRPr="001406E8">
              <w:rPr>
                <w:rFonts w:cs="Calibri"/>
                <w:color w:val="000000"/>
                <w:szCs w:val="20"/>
                <w:lang w:val="en-GB"/>
              </w:rPr>
              <w:t xml:space="preserve">* It is not always clear which services fall within the exemption for services required by EU or national law. It is worth bearing in mind that simply because work may be advised or required by an industry regulator does not mean it is pursuant to legislation – it will </w:t>
            </w:r>
            <w:proofErr w:type="gramStart"/>
            <w:r w:rsidRPr="001406E8">
              <w:rPr>
                <w:rFonts w:cs="Calibri"/>
                <w:color w:val="000000"/>
                <w:szCs w:val="20"/>
                <w:lang w:val="en-GB"/>
              </w:rPr>
              <w:t>depend</w:t>
            </w:r>
            <w:proofErr w:type="gramEnd"/>
            <w:r w:rsidRPr="001406E8">
              <w:rPr>
                <w:rFonts w:cs="Calibri"/>
                <w:color w:val="000000"/>
                <w:szCs w:val="20"/>
                <w:lang w:val="en-GB"/>
              </w:rPr>
              <w:t xml:space="preserve"> whether the industry regulator has statutory rights to require the work. Early discussion with the </w:t>
            </w:r>
            <w:r w:rsidR="00093872" w:rsidRPr="001406E8">
              <w:rPr>
                <w:rFonts w:cs="Calibri"/>
                <w:color w:val="000000"/>
                <w:szCs w:val="20"/>
                <w:lang w:val="en-GB"/>
              </w:rPr>
              <w:t xml:space="preserve">external </w:t>
            </w:r>
            <w:r w:rsidRPr="001406E8">
              <w:rPr>
                <w:rFonts w:cs="Calibri"/>
                <w:color w:val="000000"/>
                <w:szCs w:val="20"/>
                <w:lang w:val="en-GB"/>
              </w:rPr>
              <w:t xml:space="preserve">auditor is recommended for such services </w:t>
            </w:r>
            <w:proofErr w:type="gramStart"/>
            <w:r w:rsidRPr="001406E8">
              <w:rPr>
                <w:rFonts w:cs="Calibri"/>
                <w:color w:val="000000"/>
                <w:szCs w:val="20"/>
                <w:lang w:val="en-GB"/>
              </w:rPr>
              <w:t>in order to</w:t>
            </w:r>
            <w:proofErr w:type="gramEnd"/>
            <w:r w:rsidRPr="001406E8">
              <w:rPr>
                <w:rFonts w:cs="Calibri"/>
                <w:color w:val="000000"/>
                <w:szCs w:val="20"/>
                <w:lang w:val="en-GB"/>
              </w:rPr>
              <w:t xml:space="preserve"> avoid potential problems.</w:t>
            </w:r>
          </w:p>
          <w:p w14:paraId="24A06FF6" w14:textId="77777777" w:rsidR="00F35544" w:rsidRPr="001406E8" w:rsidRDefault="00F35544" w:rsidP="00F35544">
            <w:pPr>
              <w:autoSpaceDE w:val="0"/>
              <w:autoSpaceDN w:val="0"/>
              <w:adjustRightInd w:val="0"/>
              <w:spacing w:after="0"/>
              <w:contextualSpacing/>
              <w:rPr>
                <w:rFonts w:cs="Calibri"/>
                <w:color w:val="000000"/>
                <w:szCs w:val="20"/>
                <w:lang w:val="en-GB"/>
              </w:rPr>
            </w:pPr>
            <w:r w:rsidRPr="001406E8">
              <w:rPr>
                <w:rFonts w:cs="Calibri"/>
                <w:color w:val="000000"/>
                <w:szCs w:val="20"/>
                <w:lang w:val="en-GB"/>
              </w:rPr>
              <w:t>** This will permit any new requirements for auditors under the future BEIS consultation on internal controls to be outwith the fee cap.</w:t>
            </w:r>
          </w:p>
        </w:tc>
      </w:tr>
    </w:tbl>
    <w:p w14:paraId="60557AA7" w14:textId="77777777" w:rsidR="000073E9" w:rsidRDefault="007D0681" w:rsidP="000E7630">
      <w:pPr>
        <w:pStyle w:val="Heading2"/>
        <w:numPr>
          <w:ilvl w:val="0"/>
          <w:numId w:val="0"/>
        </w:numPr>
        <w:rPr>
          <w:b/>
        </w:rPr>
      </w:pPr>
      <w:r w:rsidRPr="000E7630">
        <w:rPr>
          <w:b/>
        </w:rPr>
        <w:t xml:space="preserve">APPENDIX </w:t>
      </w:r>
      <w:r>
        <w:rPr>
          <w:b/>
        </w:rPr>
        <w:t>2 – AUTHORISATION REQUEST FORM</w:t>
      </w:r>
    </w:p>
    <w:p w14:paraId="4A4F33DB" w14:textId="77777777" w:rsidR="007D0681" w:rsidRDefault="007D0681" w:rsidP="007D0681">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6633"/>
      </w:tblGrid>
      <w:tr w:rsidR="007D0681" w:rsidRPr="00185B72" w14:paraId="60DDFD79" w14:textId="77777777" w:rsidTr="00185B72">
        <w:trPr>
          <w:trHeight w:val="335"/>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14:paraId="5B853492" w14:textId="77777777" w:rsidR="007D0681" w:rsidRPr="00185B72" w:rsidRDefault="007D0681" w:rsidP="00185B72">
            <w:pPr>
              <w:spacing w:after="0"/>
              <w:rPr>
                <w:b/>
                <w:bCs/>
                <w:color w:val="1C437E"/>
              </w:rPr>
            </w:pPr>
            <w:r w:rsidRPr="00185B72">
              <w:rPr>
                <w:b/>
                <w:bCs/>
                <w:color w:val="1C437E"/>
              </w:rPr>
              <w:t>Service name</w:t>
            </w:r>
            <w:r w:rsidR="006768D7">
              <w:rPr>
                <w:b/>
                <w:bCs/>
                <w:color w:val="1C437E"/>
              </w:rPr>
              <w:t>:</w:t>
            </w:r>
          </w:p>
          <w:p w14:paraId="203EA0FA" w14:textId="77777777" w:rsidR="007D0681" w:rsidRPr="00185B72" w:rsidRDefault="007D0681" w:rsidP="00185B72">
            <w:pPr>
              <w:spacing w:after="0"/>
              <w:rPr>
                <w:b/>
                <w:bCs/>
                <w:color w:val="1C437E"/>
                <w:szCs w:val="22"/>
                <w:lang w:val="en-GB"/>
              </w:rPr>
            </w:pPr>
          </w:p>
        </w:tc>
        <w:tc>
          <w:tcPr>
            <w:tcW w:w="6633" w:type="dxa"/>
            <w:tcBorders>
              <w:top w:val="single" w:sz="4" w:space="0" w:color="auto"/>
              <w:left w:val="single" w:sz="4" w:space="0" w:color="auto"/>
              <w:bottom w:val="single" w:sz="4" w:space="0" w:color="auto"/>
              <w:right w:val="single" w:sz="4" w:space="0" w:color="auto"/>
            </w:tcBorders>
            <w:shd w:val="clear" w:color="auto" w:fill="auto"/>
          </w:tcPr>
          <w:p w14:paraId="1DB26BCB" w14:textId="77777777" w:rsidR="007D0681" w:rsidRPr="00185B72" w:rsidRDefault="007D0681" w:rsidP="00185B72">
            <w:pPr>
              <w:spacing w:after="0"/>
              <w:rPr>
                <w:color w:val="1C437E"/>
              </w:rPr>
            </w:pPr>
          </w:p>
        </w:tc>
      </w:tr>
      <w:tr w:rsidR="007D0681" w:rsidRPr="00185B72" w14:paraId="3D1F98B0" w14:textId="77777777" w:rsidTr="00185B72">
        <w:trPr>
          <w:trHeight w:val="1127"/>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14:paraId="3F51E3AC" w14:textId="77777777" w:rsidR="007D0681" w:rsidRPr="00185B72" w:rsidRDefault="007D0681" w:rsidP="00185B72">
            <w:pPr>
              <w:spacing w:after="0"/>
              <w:rPr>
                <w:b/>
                <w:bCs/>
                <w:color w:val="1C437E"/>
              </w:rPr>
            </w:pPr>
            <w:r w:rsidRPr="00185B72">
              <w:rPr>
                <w:b/>
                <w:bCs/>
                <w:color w:val="1C437E"/>
              </w:rPr>
              <w:t>Service description and scope of work</w:t>
            </w:r>
            <w:r w:rsidR="006768D7">
              <w:rPr>
                <w:b/>
                <w:bCs/>
                <w:color w:val="1C437E"/>
              </w:rPr>
              <w:t>:</w:t>
            </w:r>
          </w:p>
        </w:tc>
        <w:tc>
          <w:tcPr>
            <w:tcW w:w="6633" w:type="dxa"/>
            <w:tcBorders>
              <w:top w:val="single" w:sz="4" w:space="0" w:color="auto"/>
              <w:left w:val="single" w:sz="4" w:space="0" w:color="auto"/>
              <w:bottom w:val="single" w:sz="4" w:space="0" w:color="auto"/>
              <w:right w:val="single" w:sz="4" w:space="0" w:color="auto"/>
            </w:tcBorders>
            <w:shd w:val="clear" w:color="auto" w:fill="auto"/>
          </w:tcPr>
          <w:p w14:paraId="439819B9" w14:textId="77777777" w:rsidR="007D0681" w:rsidRPr="00185B72" w:rsidRDefault="007D0681" w:rsidP="00185B72">
            <w:pPr>
              <w:spacing w:after="0"/>
              <w:rPr>
                <w:color w:val="1C437E"/>
              </w:rPr>
            </w:pPr>
          </w:p>
        </w:tc>
      </w:tr>
      <w:tr w:rsidR="007D0681" w:rsidRPr="00185B72" w14:paraId="7F7F2CFB" w14:textId="77777777" w:rsidTr="00185B72">
        <w:tc>
          <w:tcPr>
            <w:tcW w:w="3681" w:type="dxa"/>
            <w:tcBorders>
              <w:top w:val="single" w:sz="4" w:space="0" w:color="auto"/>
              <w:left w:val="single" w:sz="4" w:space="0" w:color="auto"/>
              <w:bottom w:val="single" w:sz="4" w:space="0" w:color="auto"/>
              <w:right w:val="single" w:sz="4" w:space="0" w:color="auto"/>
            </w:tcBorders>
            <w:shd w:val="clear" w:color="auto" w:fill="auto"/>
            <w:hideMark/>
          </w:tcPr>
          <w:p w14:paraId="0031608C" w14:textId="77777777" w:rsidR="007D0681" w:rsidRDefault="007D0681" w:rsidP="00185B72">
            <w:pPr>
              <w:spacing w:after="0"/>
              <w:rPr>
                <w:b/>
                <w:bCs/>
                <w:color w:val="1C437E"/>
              </w:rPr>
            </w:pPr>
            <w:r w:rsidRPr="00185B72">
              <w:rPr>
                <w:b/>
                <w:bCs/>
                <w:color w:val="1C437E"/>
              </w:rPr>
              <w:t>Service commencement date and estimated end date</w:t>
            </w:r>
            <w:r w:rsidR="006768D7">
              <w:rPr>
                <w:b/>
                <w:bCs/>
                <w:color w:val="1C437E"/>
              </w:rPr>
              <w:t>:</w:t>
            </w:r>
          </w:p>
          <w:p w14:paraId="01518EB7" w14:textId="77777777" w:rsidR="006768D7" w:rsidRPr="00185B72" w:rsidRDefault="006768D7" w:rsidP="00185B72">
            <w:pPr>
              <w:spacing w:after="0"/>
              <w:rPr>
                <w:b/>
                <w:bCs/>
                <w:color w:val="1C437E"/>
              </w:rPr>
            </w:pPr>
          </w:p>
          <w:p w14:paraId="30DCAA45" w14:textId="77777777" w:rsidR="007D0681" w:rsidRPr="00185B72" w:rsidRDefault="007D0681" w:rsidP="00185B72">
            <w:pPr>
              <w:spacing w:after="0"/>
              <w:rPr>
                <w:b/>
                <w:bCs/>
                <w:color w:val="1C437E"/>
              </w:rPr>
            </w:pPr>
          </w:p>
        </w:tc>
        <w:tc>
          <w:tcPr>
            <w:tcW w:w="6633" w:type="dxa"/>
            <w:tcBorders>
              <w:top w:val="single" w:sz="4" w:space="0" w:color="auto"/>
              <w:left w:val="single" w:sz="4" w:space="0" w:color="auto"/>
              <w:bottom w:val="single" w:sz="4" w:space="0" w:color="auto"/>
              <w:right w:val="single" w:sz="4" w:space="0" w:color="auto"/>
            </w:tcBorders>
            <w:shd w:val="clear" w:color="auto" w:fill="auto"/>
          </w:tcPr>
          <w:p w14:paraId="1C7CEC3A" w14:textId="77777777" w:rsidR="007D0681" w:rsidRPr="00185B72" w:rsidRDefault="007D0681" w:rsidP="00185B72">
            <w:pPr>
              <w:spacing w:after="0"/>
              <w:rPr>
                <w:color w:val="1C437E"/>
              </w:rPr>
            </w:pPr>
          </w:p>
        </w:tc>
      </w:tr>
      <w:tr w:rsidR="007D0681" w:rsidRPr="00185B72" w14:paraId="5F6B4915" w14:textId="77777777" w:rsidTr="00185B72">
        <w:tc>
          <w:tcPr>
            <w:tcW w:w="3681" w:type="dxa"/>
            <w:tcBorders>
              <w:top w:val="single" w:sz="4" w:space="0" w:color="auto"/>
              <w:left w:val="single" w:sz="4" w:space="0" w:color="auto"/>
              <w:bottom w:val="single" w:sz="4" w:space="0" w:color="auto"/>
              <w:right w:val="single" w:sz="4" w:space="0" w:color="auto"/>
            </w:tcBorders>
            <w:shd w:val="clear" w:color="auto" w:fill="auto"/>
            <w:hideMark/>
          </w:tcPr>
          <w:p w14:paraId="4CED9710" w14:textId="77777777" w:rsidR="007D0681" w:rsidRDefault="007D0681" w:rsidP="00185B72">
            <w:pPr>
              <w:spacing w:after="0"/>
              <w:rPr>
                <w:b/>
                <w:bCs/>
                <w:color w:val="1C437E"/>
              </w:rPr>
            </w:pPr>
            <w:r w:rsidRPr="00185B72">
              <w:rPr>
                <w:b/>
                <w:bCs/>
                <w:color w:val="1C437E"/>
              </w:rPr>
              <w:t>SSE owner and Business Unit</w:t>
            </w:r>
            <w:r w:rsidR="006768D7">
              <w:rPr>
                <w:b/>
                <w:bCs/>
                <w:color w:val="1C437E"/>
              </w:rPr>
              <w:t>:</w:t>
            </w:r>
          </w:p>
          <w:p w14:paraId="51C920A5" w14:textId="77777777" w:rsidR="006768D7" w:rsidRPr="00185B72" w:rsidRDefault="006768D7" w:rsidP="00185B72">
            <w:pPr>
              <w:spacing w:after="0"/>
              <w:rPr>
                <w:b/>
                <w:bCs/>
                <w:color w:val="1C437E"/>
              </w:rPr>
            </w:pPr>
          </w:p>
          <w:p w14:paraId="2BF63FFF" w14:textId="77777777" w:rsidR="007D0681" w:rsidRPr="00185B72" w:rsidRDefault="007D0681" w:rsidP="00185B72">
            <w:pPr>
              <w:spacing w:after="0"/>
              <w:rPr>
                <w:b/>
                <w:bCs/>
                <w:color w:val="1C437E"/>
              </w:rPr>
            </w:pPr>
          </w:p>
        </w:tc>
        <w:tc>
          <w:tcPr>
            <w:tcW w:w="6633" w:type="dxa"/>
            <w:tcBorders>
              <w:top w:val="single" w:sz="4" w:space="0" w:color="auto"/>
              <w:left w:val="single" w:sz="4" w:space="0" w:color="auto"/>
              <w:bottom w:val="single" w:sz="4" w:space="0" w:color="auto"/>
              <w:right w:val="single" w:sz="4" w:space="0" w:color="auto"/>
            </w:tcBorders>
            <w:shd w:val="clear" w:color="auto" w:fill="auto"/>
          </w:tcPr>
          <w:p w14:paraId="2101DC40" w14:textId="77777777" w:rsidR="007D0681" w:rsidRPr="00185B72" w:rsidRDefault="007D0681" w:rsidP="00185B72">
            <w:pPr>
              <w:spacing w:after="0"/>
              <w:rPr>
                <w:color w:val="1C437E"/>
              </w:rPr>
            </w:pPr>
          </w:p>
        </w:tc>
      </w:tr>
      <w:tr w:rsidR="007D0681" w:rsidRPr="00185B72" w14:paraId="715D5EE8" w14:textId="77777777" w:rsidTr="00185B72">
        <w:trPr>
          <w:trHeight w:val="997"/>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14:paraId="31DF8F8F" w14:textId="77777777" w:rsidR="007D0681" w:rsidRPr="00185B72" w:rsidRDefault="007D0681" w:rsidP="00185B72">
            <w:pPr>
              <w:spacing w:after="0"/>
              <w:rPr>
                <w:b/>
                <w:bCs/>
                <w:color w:val="1C437E"/>
              </w:rPr>
            </w:pPr>
            <w:r w:rsidRPr="00185B72">
              <w:rPr>
                <w:b/>
                <w:bCs/>
                <w:color w:val="1C437E"/>
              </w:rPr>
              <w:t>Justification for EY permitted service</w:t>
            </w:r>
            <w:r w:rsidR="006768D7">
              <w:rPr>
                <w:b/>
                <w:bCs/>
                <w:color w:val="1C437E"/>
              </w:rPr>
              <w:t>:</w:t>
            </w:r>
          </w:p>
        </w:tc>
        <w:tc>
          <w:tcPr>
            <w:tcW w:w="6633" w:type="dxa"/>
            <w:tcBorders>
              <w:top w:val="single" w:sz="4" w:space="0" w:color="auto"/>
              <w:left w:val="single" w:sz="4" w:space="0" w:color="auto"/>
              <w:bottom w:val="single" w:sz="4" w:space="0" w:color="auto"/>
              <w:right w:val="single" w:sz="4" w:space="0" w:color="auto"/>
            </w:tcBorders>
            <w:shd w:val="clear" w:color="auto" w:fill="auto"/>
          </w:tcPr>
          <w:p w14:paraId="68932E20" w14:textId="77777777" w:rsidR="007D0681" w:rsidRPr="00185B72" w:rsidRDefault="007D0681" w:rsidP="00185B72">
            <w:pPr>
              <w:spacing w:after="0"/>
              <w:rPr>
                <w:color w:val="1C437E"/>
              </w:rPr>
            </w:pPr>
          </w:p>
        </w:tc>
      </w:tr>
      <w:tr w:rsidR="007D0681" w:rsidRPr="00185B72" w14:paraId="0B406641" w14:textId="77777777" w:rsidTr="00185B72">
        <w:trPr>
          <w:trHeight w:val="1111"/>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14:paraId="260EEFF5" w14:textId="77777777" w:rsidR="007D0681" w:rsidRPr="00185B72" w:rsidRDefault="007D0681" w:rsidP="00185B72">
            <w:pPr>
              <w:spacing w:after="0"/>
              <w:rPr>
                <w:b/>
                <w:bCs/>
                <w:color w:val="1C437E"/>
              </w:rPr>
            </w:pPr>
            <w:r w:rsidRPr="00185B72">
              <w:rPr>
                <w:b/>
                <w:bCs/>
                <w:color w:val="1C437E"/>
              </w:rPr>
              <w:t>Threats and safeguards</w:t>
            </w:r>
            <w:r w:rsidR="006768D7">
              <w:rPr>
                <w:b/>
                <w:bCs/>
                <w:color w:val="1C437E"/>
              </w:rPr>
              <w:t>:</w:t>
            </w:r>
          </w:p>
        </w:tc>
        <w:tc>
          <w:tcPr>
            <w:tcW w:w="6633" w:type="dxa"/>
            <w:tcBorders>
              <w:top w:val="single" w:sz="4" w:space="0" w:color="auto"/>
              <w:left w:val="single" w:sz="4" w:space="0" w:color="auto"/>
              <w:bottom w:val="single" w:sz="4" w:space="0" w:color="auto"/>
              <w:right w:val="single" w:sz="4" w:space="0" w:color="auto"/>
            </w:tcBorders>
            <w:shd w:val="clear" w:color="auto" w:fill="auto"/>
          </w:tcPr>
          <w:p w14:paraId="26183F48" w14:textId="77777777" w:rsidR="007D0681" w:rsidRPr="00185B72" w:rsidRDefault="007D0681" w:rsidP="00185B72">
            <w:pPr>
              <w:spacing w:after="0"/>
              <w:rPr>
                <w:color w:val="1C437E"/>
              </w:rPr>
            </w:pPr>
          </w:p>
        </w:tc>
      </w:tr>
      <w:tr w:rsidR="007D0681" w:rsidRPr="00185B72" w14:paraId="0ECF2DFA" w14:textId="77777777" w:rsidTr="00185B72">
        <w:trPr>
          <w:trHeight w:val="687"/>
        </w:trPr>
        <w:tc>
          <w:tcPr>
            <w:tcW w:w="3681" w:type="dxa"/>
            <w:tcBorders>
              <w:top w:val="single" w:sz="4" w:space="0" w:color="auto"/>
              <w:left w:val="single" w:sz="4" w:space="0" w:color="auto"/>
              <w:bottom w:val="single" w:sz="4" w:space="0" w:color="auto"/>
              <w:right w:val="single" w:sz="4" w:space="0" w:color="auto"/>
            </w:tcBorders>
            <w:shd w:val="clear" w:color="auto" w:fill="auto"/>
          </w:tcPr>
          <w:p w14:paraId="409F8ED3" w14:textId="77777777" w:rsidR="007D0681" w:rsidRPr="00185B72" w:rsidRDefault="007D0681" w:rsidP="00185B72">
            <w:pPr>
              <w:spacing w:after="0"/>
              <w:rPr>
                <w:b/>
                <w:bCs/>
                <w:color w:val="1C437E"/>
              </w:rPr>
            </w:pPr>
            <w:r w:rsidRPr="00185B72">
              <w:rPr>
                <w:b/>
                <w:bCs/>
                <w:color w:val="1C437E"/>
              </w:rPr>
              <w:t>EY key contacts</w:t>
            </w:r>
            <w:r w:rsidR="006768D7">
              <w:rPr>
                <w:b/>
                <w:bCs/>
                <w:color w:val="1C437E"/>
              </w:rPr>
              <w:t>:</w:t>
            </w:r>
          </w:p>
        </w:tc>
        <w:tc>
          <w:tcPr>
            <w:tcW w:w="6633" w:type="dxa"/>
            <w:tcBorders>
              <w:top w:val="single" w:sz="4" w:space="0" w:color="auto"/>
              <w:left w:val="single" w:sz="4" w:space="0" w:color="auto"/>
              <w:bottom w:val="single" w:sz="4" w:space="0" w:color="auto"/>
              <w:right w:val="single" w:sz="4" w:space="0" w:color="auto"/>
            </w:tcBorders>
            <w:shd w:val="clear" w:color="auto" w:fill="auto"/>
          </w:tcPr>
          <w:p w14:paraId="44370BDE" w14:textId="77777777" w:rsidR="007D0681" w:rsidRPr="00185B72" w:rsidRDefault="007D0681" w:rsidP="00185B72">
            <w:pPr>
              <w:spacing w:after="0"/>
              <w:rPr>
                <w:color w:val="1C437E"/>
              </w:rPr>
            </w:pPr>
          </w:p>
        </w:tc>
      </w:tr>
      <w:tr w:rsidR="007D0681" w:rsidRPr="00185B72" w14:paraId="2C998D38" w14:textId="77777777" w:rsidTr="00185B72">
        <w:tc>
          <w:tcPr>
            <w:tcW w:w="3681" w:type="dxa"/>
            <w:tcBorders>
              <w:top w:val="single" w:sz="4" w:space="0" w:color="auto"/>
              <w:left w:val="single" w:sz="4" w:space="0" w:color="auto"/>
              <w:bottom w:val="single" w:sz="4" w:space="0" w:color="auto"/>
              <w:right w:val="single" w:sz="4" w:space="0" w:color="auto"/>
            </w:tcBorders>
            <w:shd w:val="clear" w:color="auto" w:fill="auto"/>
            <w:hideMark/>
          </w:tcPr>
          <w:p w14:paraId="3D2379A1" w14:textId="77777777" w:rsidR="007D0681" w:rsidRDefault="007D0681" w:rsidP="00185B72">
            <w:pPr>
              <w:spacing w:after="0"/>
              <w:rPr>
                <w:b/>
                <w:bCs/>
                <w:color w:val="1C437E"/>
              </w:rPr>
            </w:pPr>
            <w:r w:rsidRPr="00185B72">
              <w:rPr>
                <w:b/>
                <w:bCs/>
                <w:color w:val="1C437E"/>
              </w:rPr>
              <w:t>Agreed fee</w:t>
            </w:r>
            <w:r w:rsidR="006768D7">
              <w:rPr>
                <w:b/>
                <w:bCs/>
                <w:color w:val="1C437E"/>
              </w:rPr>
              <w:t>:</w:t>
            </w:r>
          </w:p>
          <w:p w14:paraId="14FDFCF8" w14:textId="77777777" w:rsidR="006768D7" w:rsidRPr="00185B72" w:rsidRDefault="006768D7" w:rsidP="00185B72">
            <w:pPr>
              <w:spacing w:after="0"/>
              <w:rPr>
                <w:b/>
                <w:bCs/>
                <w:color w:val="1C437E"/>
              </w:rPr>
            </w:pPr>
          </w:p>
          <w:p w14:paraId="6EDE63A6" w14:textId="77777777" w:rsidR="007D0681" w:rsidRPr="00185B72" w:rsidRDefault="007D0681" w:rsidP="00185B72">
            <w:pPr>
              <w:spacing w:after="0"/>
              <w:rPr>
                <w:b/>
                <w:bCs/>
                <w:color w:val="1C437E"/>
              </w:rPr>
            </w:pPr>
          </w:p>
        </w:tc>
        <w:tc>
          <w:tcPr>
            <w:tcW w:w="6633" w:type="dxa"/>
            <w:tcBorders>
              <w:top w:val="single" w:sz="4" w:space="0" w:color="auto"/>
              <w:left w:val="single" w:sz="4" w:space="0" w:color="auto"/>
              <w:bottom w:val="single" w:sz="4" w:space="0" w:color="auto"/>
              <w:right w:val="single" w:sz="4" w:space="0" w:color="auto"/>
            </w:tcBorders>
            <w:shd w:val="clear" w:color="auto" w:fill="auto"/>
          </w:tcPr>
          <w:p w14:paraId="64A1C1ED" w14:textId="77777777" w:rsidR="007D0681" w:rsidRPr="00185B72" w:rsidRDefault="007D0681" w:rsidP="00185B72">
            <w:pPr>
              <w:spacing w:after="0"/>
              <w:rPr>
                <w:color w:val="1C437E"/>
              </w:rPr>
            </w:pPr>
          </w:p>
        </w:tc>
      </w:tr>
      <w:tr w:rsidR="007D0681" w:rsidRPr="00185B72" w14:paraId="716582AB" w14:textId="77777777" w:rsidTr="00185B72">
        <w:tc>
          <w:tcPr>
            <w:tcW w:w="3681" w:type="dxa"/>
            <w:tcBorders>
              <w:top w:val="single" w:sz="4" w:space="0" w:color="auto"/>
              <w:left w:val="single" w:sz="4" w:space="0" w:color="auto"/>
              <w:bottom w:val="single" w:sz="4" w:space="0" w:color="auto"/>
              <w:right w:val="single" w:sz="4" w:space="0" w:color="auto"/>
            </w:tcBorders>
            <w:shd w:val="clear" w:color="auto" w:fill="auto"/>
            <w:hideMark/>
          </w:tcPr>
          <w:p w14:paraId="19CB7B4E" w14:textId="77777777" w:rsidR="007D0681" w:rsidRPr="00185B72" w:rsidRDefault="007D0681" w:rsidP="00185B72">
            <w:pPr>
              <w:spacing w:after="0"/>
              <w:rPr>
                <w:b/>
                <w:bCs/>
                <w:color w:val="1C437E"/>
              </w:rPr>
            </w:pPr>
            <w:r w:rsidRPr="00185B72">
              <w:rPr>
                <w:b/>
                <w:bCs/>
                <w:color w:val="1C437E"/>
              </w:rPr>
              <w:t>Audit Committee approval date</w:t>
            </w:r>
            <w:r w:rsidR="006768D7">
              <w:rPr>
                <w:b/>
                <w:bCs/>
                <w:color w:val="1C437E"/>
              </w:rPr>
              <w:t>:</w:t>
            </w:r>
          </w:p>
        </w:tc>
        <w:tc>
          <w:tcPr>
            <w:tcW w:w="6633" w:type="dxa"/>
            <w:tcBorders>
              <w:top w:val="single" w:sz="4" w:space="0" w:color="auto"/>
              <w:left w:val="single" w:sz="4" w:space="0" w:color="auto"/>
              <w:bottom w:val="single" w:sz="4" w:space="0" w:color="auto"/>
              <w:right w:val="single" w:sz="4" w:space="0" w:color="auto"/>
            </w:tcBorders>
            <w:shd w:val="clear" w:color="auto" w:fill="auto"/>
          </w:tcPr>
          <w:p w14:paraId="2E4630A2" w14:textId="77777777" w:rsidR="007D0681" w:rsidRPr="00185B72" w:rsidRDefault="007D0681" w:rsidP="00185B72">
            <w:pPr>
              <w:spacing w:after="0"/>
              <w:rPr>
                <w:color w:val="1C437E"/>
              </w:rPr>
            </w:pPr>
          </w:p>
          <w:p w14:paraId="55C493C3" w14:textId="77777777" w:rsidR="007D0681" w:rsidRPr="00185B72" w:rsidRDefault="007D0681" w:rsidP="00185B72">
            <w:pPr>
              <w:spacing w:after="0"/>
              <w:rPr>
                <w:color w:val="1C437E"/>
              </w:rPr>
            </w:pPr>
          </w:p>
        </w:tc>
      </w:tr>
    </w:tbl>
    <w:p w14:paraId="5E52CA5D" w14:textId="77777777" w:rsidR="007D0681" w:rsidRPr="007D0681" w:rsidRDefault="007D0681" w:rsidP="007D0681">
      <w:pPr>
        <w:rPr>
          <w:lang w:val="en-GB"/>
        </w:rPr>
      </w:pPr>
    </w:p>
    <w:sectPr w:rsidR="007D0681" w:rsidRPr="007D0681" w:rsidSect="00DC42FE">
      <w:headerReference w:type="even" r:id="rId12"/>
      <w:headerReference w:type="default" r:id="rId13"/>
      <w:footerReference w:type="even" r:id="rId14"/>
      <w:footerReference w:type="default" r:id="rId15"/>
      <w:headerReference w:type="first" r:id="rId16"/>
      <w:footerReference w:type="first" r:id="rId17"/>
      <w:pgSz w:w="11906" w:h="16838" w:code="9"/>
      <w:pgMar w:top="851" w:right="851" w:bottom="1134" w:left="851"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C212D" w14:textId="77777777" w:rsidR="004B7504" w:rsidRDefault="004B7504">
      <w:r>
        <w:separator/>
      </w:r>
    </w:p>
  </w:endnote>
  <w:endnote w:type="continuationSeparator" w:id="0">
    <w:p w14:paraId="5D973B0F" w14:textId="77777777" w:rsidR="004B7504" w:rsidRDefault="004B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45 Light">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5DD9" w14:textId="77777777" w:rsidR="003A5240" w:rsidRDefault="003A52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top w:w="28" w:type="dxa"/>
        <w:bottom w:w="28" w:type="dxa"/>
      </w:tblCellMar>
      <w:tblLook w:val="0000" w:firstRow="0" w:lastRow="0" w:firstColumn="0" w:lastColumn="0" w:noHBand="0" w:noVBand="0"/>
    </w:tblPr>
    <w:tblGrid>
      <w:gridCol w:w="3472"/>
      <w:gridCol w:w="3474"/>
      <w:gridCol w:w="3474"/>
    </w:tblGrid>
    <w:tr w:rsidR="00991992" w:rsidRPr="00A22725" w14:paraId="405FF447" w14:textId="77777777" w:rsidTr="00991992">
      <w:trPr>
        <w:cantSplit/>
        <w:jc w:val="center"/>
      </w:trPr>
      <w:tc>
        <w:tcPr>
          <w:tcW w:w="1666" w:type="pct"/>
          <w:shd w:val="clear" w:color="auto" w:fill="auto"/>
          <w:vAlign w:val="center"/>
        </w:tcPr>
        <w:p w14:paraId="138CD8C6" w14:textId="77777777" w:rsidR="00991992" w:rsidRPr="00A22725" w:rsidRDefault="00991992" w:rsidP="00991992">
          <w:pPr>
            <w:pStyle w:val="Footer"/>
          </w:pPr>
        </w:p>
      </w:tc>
      <w:tc>
        <w:tcPr>
          <w:tcW w:w="1667" w:type="pct"/>
          <w:shd w:val="clear" w:color="auto" w:fill="auto"/>
          <w:vAlign w:val="center"/>
        </w:tcPr>
        <w:p w14:paraId="1D64F24F" w14:textId="77777777" w:rsidR="00991992" w:rsidRPr="00A22725" w:rsidRDefault="00991992" w:rsidP="00991992">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A52858">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52858">
            <w:rPr>
              <w:rStyle w:val="PageNumber"/>
              <w:noProof/>
            </w:rPr>
            <w:t>4</w:t>
          </w:r>
          <w:r>
            <w:rPr>
              <w:rStyle w:val="PageNumber"/>
            </w:rPr>
            <w:fldChar w:fldCharType="end"/>
          </w:r>
        </w:p>
      </w:tc>
      <w:tc>
        <w:tcPr>
          <w:tcW w:w="1667" w:type="pct"/>
          <w:shd w:val="clear" w:color="auto" w:fill="auto"/>
          <w:vAlign w:val="center"/>
        </w:tcPr>
        <w:p w14:paraId="44B07406" w14:textId="77777777" w:rsidR="00991992" w:rsidRPr="00A22725" w:rsidRDefault="00991992" w:rsidP="00991992">
          <w:pPr>
            <w:pStyle w:val="Footer"/>
            <w:jc w:val="right"/>
          </w:pPr>
        </w:p>
      </w:tc>
    </w:tr>
    <w:tr w:rsidR="00991992" w:rsidRPr="00A22725" w14:paraId="5CD208DA" w14:textId="77777777" w:rsidTr="00991992">
      <w:trPr>
        <w:cantSplit/>
        <w:trHeight w:val="1079"/>
        <w:jc w:val="center"/>
      </w:trPr>
      <w:tc>
        <w:tcPr>
          <w:tcW w:w="1666" w:type="pct"/>
          <w:shd w:val="clear" w:color="auto" w:fill="auto"/>
          <w:vAlign w:val="center"/>
        </w:tcPr>
        <w:p w14:paraId="3C2B296D" w14:textId="77777777" w:rsidR="00991992" w:rsidRDefault="00991992" w:rsidP="00991992">
          <w:pPr>
            <w:pStyle w:val="Footer"/>
          </w:pPr>
        </w:p>
      </w:tc>
      <w:tc>
        <w:tcPr>
          <w:tcW w:w="1667" w:type="pct"/>
          <w:shd w:val="clear" w:color="auto" w:fill="auto"/>
          <w:vAlign w:val="center"/>
        </w:tcPr>
        <w:p w14:paraId="5EE10812" w14:textId="77777777" w:rsidR="00991992" w:rsidRPr="00991992" w:rsidRDefault="00991992" w:rsidP="00991992">
          <w:pPr>
            <w:pStyle w:val="Footer"/>
            <w:tabs>
              <w:tab w:val="center" w:pos="4500"/>
              <w:tab w:val="left" w:pos="4860"/>
              <w:tab w:val="left" w:pos="8100"/>
            </w:tabs>
            <w:jc w:val="center"/>
            <w:rPr>
              <w:color w:val="808080"/>
              <w:sz w:val="18"/>
              <w:szCs w:val="18"/>
            </w:rPr>
          </w:pPr>
          <w:r w:rsidRPr="00346D38">
            <w:rPr>
              <w:sz w:val="20"/>
              <w:szCs w:val="20"/>
            </w:rPr>
            <w:t xml:space="preserve">Uncontrolled if printed </w:t>
          </w:r>
          <w:r w:rsidRPr="00346D38">
            <w:rPr>
              <w:sz w:val="20"/>
              <w:szCs w:val="20"/>
            </w:rPr>
            <w:br/>
          </w:r>
          <w:r w:rsidRPr="00AD51CF">
            <w:rPr>
              <w:color w:val="808080"/>
              <w:sz w:val="18"/>
              <w:szCs w:val="18"/>
            </w:rPr>
            <w:t>SSE Doc</w:t>
          </w:r>
          <w:r>
            <w:rPr>
              <w:color w:val="808080"/>
              <w:sz w:val="18"/>
              <w:szCs w:val="18"/>
            </w:rPr>
            <w:t>ument Template FO-COR-014</w:t>
          </w:r>
        </w:p>
      </w:tc>
      <w:tc>
        <w:tcPr>
          <w:tcW w:w="1667" w:type="pct"/>
          <w:shd w:val="clear" w:color="auto" w:fill="auto"/>
          <w:vAlign w:val="center"/>
        </w:tcPr>
        <w:p w14:paraId="79FF93B2" w14:textId="77777777" w:rsidR="00991992" w:rsidRDefault="00C67D3B" w:rsidP="00991992">
          <w:pPr>
            <w:pStyle w:val="Footer"/>
            <w:jc w:val="right"/>
            <w:rPr>
              <w:rStyle w:val="PageNumber"/>
            </w:rPr>
          </w:pPr>
          <w:r>
            <w:pict w14:anchorId="0C56F6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25" type="#_x0000_t75" alt="SSE_newsletter" style="width:78.6pt;height:37.8pt;visibility:visible;mso-position-vertical-relative:page" o:allowoverlap="f">
                <v:imagedata r:id="rId1" o:title="SSE_newsletter"/>
              </v:shape>
            </w:pict>
          </w:r>
        </w:p>
      </w:tc>
    </w:tr>
  </w:tbl>
  <w:p w14:paraId="00AA7056" w14:textId="77777777" w:rsidR="00991992" w:rsidRPr="00916D3F" w:rsidRDefault="00991992" w:rsidP="00991992">
    <w:pPr>
      <w:pStyle w:val="Footer"/>
      <w:tabs>
        <w:tab w:val="center" w:pos="4500"/>
        <w:tab w:val="left" w:pos="4860"/>
        <w:tab w:val="left" w:pos="810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326E" w14:textId="77777777" w:rsidR="003A5240" w:rsidRDefault="003A5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11827" w14:textId="77777777" w:rsidR="004B7504" w:rsidRDefault="004B7504">
      <w:r>
        <w:separator/>
      </w:r>
    </w:p>
  </w:footnote>
  <w:footnote w:type="continuationSeparator" w:id="0">
    <w:p w14:paraId="111E73DB" w14:textId="77777777" w:rsidR="004B7504" w:rsidRDefault="004B7504">
      <w:r>
        <w:continuationSeparator/>
      </w:r>
    </w:p>
  </w:footnote>
  <w:footnote w:id="1">
    <w:p w14:paraId="7F48B46D" w14:textId="77777777" w:rsidR="00A2223C" w:rsidRPr="00A2223C" w:rsidRDefault="00A2223C" w:rsidP="00BC79E4">
      <w:pPr>
        <w:pStyle w:val="FootnoteText"/>
        <w:spacing w:after="0"/>
        <w:rPr>
          <w:lang w:val="en-GB"/>
        </w:rPr>
      </w:pPr>
      <w:r>
        <w:rPr>
          <w:rStyle w:val="FootnoteReference"/>
        </w:rPr>
        <w:footnoteRef/>
      </w:r>
      <w:r>
        <w:t xml:space="preserve"> </w:t>
      </w:r>
      <w:r>
        <w:rPr>
          <w:lang w:val="en-GB"/>
        </w:rPr>
        <w:t xml:space="preserve">Copying in the </w:t>
      </w:r>
      <w:r w:rsidR="00093872">
        <w:rPr>
          <w:lang w:val="en-GB"/>
        </w:rPr>
        <w:t>Group Financial Controller</w:t>
      </w:r>
      <w:r w:rsidR="00D51A8D">
        <w:rPr>
          <w:lang w:val="en-GB"/>
        </w:rPr>
        <w:t xml:space="preserve"> </w:t>
      </w:r>
      <w:r>
        <w:rPr>
          <w:lang w:val="en-GB"/>
        </w:rPr>
        <w:t>and Deputy Company Secretary.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4AFE8" w14:textId="77777777" w:rsidR="003A5240" w:rsidRDefault="003A52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0"/>
      <w:gridCol w:w="6273"/>
      <w:gridCol w:w="2117"/>
    </w:tblGrid>
    <w:tr w:rsidR="00991992" w:rsidRPr="0037508E" w14:paraId="2A3071F7" w14:textId="77777777" w:rsidTr="00204F46">
      <w:trPr>
        <w:cantSplit/>
        <w:trHeight w:val="783"/>
        <w:jc w:val="center"/>
      </w:trPr>
      <w:tc>
        <w:tcPr>
          <w:tcW w:w="974" w:type="pct"/>
          <w:shd w:val="clear" w:color="auto" w:fill="auto"/>
          <w:vAlign w:val="center"/>
        </w:tcPr>
        <w:p w14:paraId="2AEA4610" w14:textId="77777777" w:rsidR="00991992" w:rsidRPr="00916D3F" w:rsidRDefault="00991992" w:rsidP="009C154C">
          <w:pPr>
            <w:pStyle w:val="Header"/>
            <w:jc w:val="center"/>
            <w:rPr>
              <w:sz w:val="22"/>
              <w:szCs w:val="22"/>
            </w:rPr>
          </w:pPr>
          <w:r w:rsidRPr="00916D3F">
            <w:rPr>
              <w:sz w:val="22"/>
              <w:szCs w:val="22"/>
            </w:rPr>
            <w:t>Applies to:</w:t>
          </w:r>
        </w:p>
        <w:p w14:paraId="788E8DF4" w14:textId="77777777" w:rsidR="00991992" w:rsidRPr="00916D3F" w:rsidRDefault="00C821A7" w:rsidP="009C154C">
          <w:pPr>
            <w:pStyle w:val="Header"/>
            <w:jc w:val="center"/>
            <w:rPr>
              <w:b/>
              <w:sz w:val="22"/>
              <w:szCs w:val="22"/>
            </w:rPr>
          </w:pPr>
          <w:r>
            <w:rPr>
              <w:b/>
              <w:sz w:val="22"/>
              <w:szCs w:val="22"/>
            </w:rPr>
            <w:t>All staff</w:t>
          </w:r>
        </w:p>
      </w:tc>
      <w:tc>
        <w:tcPr>
          <w:tcW w:w="3010" w:type="pct"/>
          <w:shd w:val="clear" w:color="auto" w:fill="auto"/>
          <w:vAlign w:val="center"/>
        </w:tcPr>
        <w:p w14:paraId="0FE8C80C" w14:textId="77777777" w:rsidR="00991992" w:rsidRPr="00634FA4" w:rsidRDefault="00FA297B" w:rsidP="00AD51CF">
          <w:pPr>
            <w:pStyle w:val="Header"/>
            <w:jc w:val="center"/>
            <w:rPr>
              <w:b/>
              <w:sz w:val="24"/>
            </w:rPr>
          </w:pPr>
          <w:r>
            <w:rPr>
              <w:b/>
              <w:sz w:val="24"/>
            </w:rPr>
            <w:t>Non-Audit Services Procedure</w:t>
          </w:r>
        </w:p>
      </w:tc>
      <w:tc>
        <w:tcPr>
          <w:tcW w:w="1016" w:type="pct"/>
          <w:shd w:val="clear" w:color="auto" w:fill="auto"/>
          <w:vAlign w:val="center"/>
        </w:tcPr>
        <w:p w14:paraId="704F3851" w14:textId="77777777" w:rsidR="00991992" w:rsidRPr="00634FA4" w:rsidRDefault="00C821A7" w:rsidP="009C2D89">
          <w:pPr>
            <w:pStyle w:val="Header"/>
            <w:jc w:val="center"/>
            <w:rPr>
              <w:b/>
              <w:sz w:val="24"/>
            </w:rPr>
          </w:pPr>
          <w:r>
            <w:rPr>
              <w:b/>
              <w:sz w:val="24"/>
            </w:rPr>
            <w:t>P</w:t>
          </w:r>
          <w:r w:rsidR="00FA297B">
            <w:rPr>
              <w:b/>
              <w:sz w:val="24"/>
            </w:rPr>
            <w:t>R</w:t>
          </w:r>
          <w:r w:rsidR="00F056ED">
            <w:rPr>
              <w:b/>
              <w:sz w:val="24"/>
            </w:rPr>
            <w:t>-COR-</w:t>
          </w:r>
          <w:r w:rsidR="009C2D89">
            <w:rPr>
              <w:b/>
              <w:sz w:val="24"/>
            </w:rPr>
            <w:t>087</w:t>
          </w:r>
        </w:p>
      </w:tc>
    </w:tr>
    <w:tr w:rsidR="00DC42FE" w:rsidRPr="0037508E" w14:paraId="1FD31DF2" w14:textId="77777777" w:rsidTr="00204F46">
      <w:trPr>
        <w:cantSplit/>
        <w:trHeight w:val="783"/>
        <w:jc w:val="center"/>
      </w:trPr>
      <w:tc>
        <w:tcPr>
          <w:tcW w:w="974" w:type="pct"/>
          <w:shd w:val="clear" w:color="auto" w:fill="auto"/>
          <w:vAlign w:val="center"/>
        </w:tcPr>
        <w:p w14:paraId="1F90D1FF" w14:textId="77777777" w:rsidR="00DC42FE" w:rsidRPr="00916D3F" w:rsidRDefault="00DC42FE" w:rsidP="009C154C">
          <w:pPr>
            <w:pStyle w:val="Header"/>
            <w:jc w:val="center"/>
            <w:rPr>
              <w:sz w:val="22"/>
              <w:szCs w:val="22"/>
            </w:rPr>
          </w:pPr>
          <w:proofErr w:type="gramStart"/>
          <w:r w:rsidRPr="00A22725">
            <w:rPr>
              <w:sz w:val="22"/>
              <w:szCs w:val="22"/>
            </w:rPr>
            <w:t>Classification :</w:t>
          </w:r>
          <w:proofErr w:type="gramEnd"/>
          <w:r w:rsidRPr="00A22725">
            <w:rPr>
              <w:sz w:val="22"/>
              <w:szCs w:val="22"/>
            </w:rPr>
            <w:t xml:space="preserve"> Internal</w:t>
          </w:r>
        </w:p>
      </w:tc>
      <w:tc>
        <w:tcPr>
          <w:tcW w:w="3010" w:type="pct"/>
          <w:shd w:val="clear" w:color="auto" w:fill="auto"/>
          <w:vAlign w:val="center"/>
        </w:tcPr>
        <w:p w14:paraId="11D4DF22" w14:textId="77777777" w:rsidR="00DC42FE" w:rsidRPr="00634FA4" w:rsidRDefault="00DC42FE" w:rsidP="00AD51CF">
          <w:pPr>
            <w:pStyle w:val="Header"/>
            <w:jc w:val="center"/>
            <w:rPr>
              <w:b/>
              <w:sz w:val="24"/>
            </w:rPr>
          </w:pPr>
          <w:r w:rsidRPr="00A22725">
            <w:rPr>
              <w:sz w:val="22"/>
              <w:szCs w:val="22"/>
            </w:rPr>
            <w:t>Uncontrolled if printed</w:t>
          </w:r>
        </w:p>
      </w:tc>
      <w:tc>
        <w:tcPr>
          <w:tcW w:w="1016" w:type="pct"/>
          <w:shd w:val="clear" w:color="auto" w:fill="auto"/>
          <w:vAlign w:val="center"/>
        </w:tcPr>
        <w:p w14:paraId="2E80D75F" w14:textId="17D9FC99" w:rsidR="00DC42FE" w:rsidRPr="00634FA4" w:rsidRDefault="00427983" w:rsidP="000073E9">
          <w:pPr>
            <w:pStyle w:val="Header"/>
            <w:jc w:val="center"/>
            <w:rPr>
              <w:b/>
              <w:sz w:val="24"/>
            </w:rPr>
          </w:pPr>
          <w:r>
            <w:rPr>
              <w:sz w:val="22"/>
              <w:szCs w:val="22"/>
            </w:rPr>
            <w:t>Rev:</w:t>
          </w:r>
          <w:r w:rsidR="003A5240">
            <w:rPr>
              <w:sz w:val="22"/>
              <w:szCs w:val="22"/>
            </w:rPr>
            <w:t>4</w:t>
          </w:r>
          <w:r w:rsidR="000073E9">
            <w:rPr>
              <w:sz w:val="22"/>
              <w:szCs w:val="22"/>
            </w:rPr>
            <w:t>.00</w:t>
          </w:r>
        </w:p>
      </w:tc>
    </w:tr>
  </w:tbl>
  <w:p w14:paraId="01309CDE" w14:textId="77777777" w:rsidR="00991992" w:rsidRPr="0037508E" w:rsidRDefault="00991992" w:rsidP="00FF1E56">
    <w:pPr>
      <w:pStyle w:val="Header"/>
      <w:jc w:val="center"/>
      <w:rPr>
        <w:rFonts w:ascii="Cambria" w:hAnsi="Cambr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0122" w14:textId="77777777" w:rsidR="003A5240" w:rsidRDefault="003A52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096B316"/>
    <w:lvl w:ilvl="0">
      <w:start w:val="1"/>
      <w:numFmt w:val="bullet"/>
      <w:pStyle w:val="ListBullet5"/>
      <w:lvlText w:val=""/>
      <w:lvlJc w:val="left"/>
      <w:pPr>
        <w:tabs>
          <w:tab w:val="num" w:pos="1492"/>
        </w:tabs>
        <w:ind w:left="1492" w:hanging="360"/>
      </w:pPr>
      <w:rPr>
        <w:rFonts w:ascii="Symbol" w:hAnsi="Symbol" w:hint="default"/>
        <w:color w:val="auto"/>
      </w:rPr>
    </w:lvl>
  </w:abstractNum>
  <w:abstractNum w:abstractNumId="1" w15:restartNumberingAfterBreak="0">
    <w:nsid w:val="FFFFFF81"/>
    <w:multiLevelType w:val="singleLevel"/>
    <w:tmpl w:val="BF84C3F0"/>
    <w:lvl w:ilvl="0">
      <w:start w:val="1"/>
      <w:numFmt w:val="bullet"/>
      <w:pStyle w:val="ListBullet4"/>
      <w:lvlText w:val=""/>
      <w:lvlJc w:val="left"/>
      <w:pPr>
        <w:tabs>
          <w:tab w:val="num" w:pos="1209"/>
        </w:tabs>
        <w:ind w:left="1209" w:hanging="360"/>
      </w:pPr>
      <w:rPr>
        <w:rFonts w:ascii="Symbol" w:hAnsi="Symbol" w:hint="default"/>
        <w:color w:val="auto"/>
      </w:rPr>
    </w:lvl>
  </w:abstractNum>
  <w:abstractNum w:abstractNumId="2" w15:restartNumberingAfterBreak="0">
    <w:nsid w:val="FFFFFF82"/>
    <w:multiLevelType w:val="singleLevel"/>
    <w:tmpl w:val="76087688"/>
    <w:lvl w:ilvl="0">
      <w:start w:val="1"/>
      <w:numFmt w:val="bullet"/>
      <w:pStyle w:val="ListBullet3"/>
      <w:lvlText w:val=""/>
      <w:lvlJc w:val="left"/>
      <w:pPr>
        <w:tabs>
          <w:tab w:val="num" w:pos="926"/>
        </w:tabs>
        <w:ind w:left="926" w:hanging="360"/>
      </w:pPr>
      <w:rPr>
        <w:rFonts w:ascii="Symbol" w:hAnsi="Symbol" w:hint="default"/>
        <w:color w:val="auto"/>
      </w:rPr>
    </w:lvl>
  </w:abstractNum>
  <w:abstractNum w:abstractNumId="3" w15:restartNumberingAfterBreak="0">
    <w:nsid w:val="FFFFFF83"/>
    <w:multiLevelType w:val="singleLevel"/>
    <w:tmpl w:val="4CE2D15E"/>
    <w:lvl w:ilvl="0">
      <w:start w:val="1"/>
      <w:numFmt w:val="bullet"/>
      <w:pStyle w:val="ListBullet2"/>
      <w:lvlText w:val=""/>
      <w:lvlJc w:val="left"/>
      <w:pPr>
        <w:tabs>
          <w:tab w:val="num" w:pos="643"/>
        </w:tabs>
        <w:ind w:left="643" w:hanging="360"/>
      </w:pPr>
      <w:rPr>
        <w:rFonts w:ascii="Symbol" w:hAnsi="Symbol" w:hint="default"/>
        <w:color w:val="auto"/>
      </w:rPr>
    </w:lvl>
  </w:abstractNum>
  <w:abstractNum w:abstractNumId="4" w15:restartNumberingAfterBreak="0">
    <w:nsid w:val="FFFFFF88"/>
    <w:multiLevelType w:val="singleLevel"/>
    <w:tmpl w:val="505C3EC4"/>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27E27640"/>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6" w15:restartNumberingAfterBreak="0">
    <w:nsid w:val="021161DE"/>
    <w:multiLevelType w:val="multilevel"/>
    <w:tmpl w:val="58DA3A46"/>
    <w:styleLink w:val="NumbLstNumb"/>
    <w:lvl w:ilvl="0">
      <w:start w:val="1"/>
      <w:numFmt w:val="decimal"/>
      <w:pStyle w:val="NumbList1"/>
      <w:lvlText w:val="%1."/>
      <w:lvlJc w:val="left"/>
      <w:pPr>
        <w:tabs>
          <w:tab w:val="num" w:pos="340"/>
        </w:tabs>
        <w:ind w:left="340" w:hanging="340"/>
      </w:pPr>
      <w:rPr>
        <w:rFonts w:hint="default"/>
      </w:rPr>
    </w:lvl>
    <w:lvl w:ilvl="1">
      <w:start w:val="1"/>
      <w:numFmt w:val="lowerLetter"/>
      <w:pStyle w:val="NumbList2"/>
      <w:lvlText w:val="%2."/>
      <w:lvlJc w:val="left"/>
      <w:pPr>
        <w:tabs>
          <w:tab w:val="num" w:pos="680"/>
        </w:tabs>
        <w:ind w:left="680" w:hanging="340"/>
      </w:pPr>
      <w:rPr>
        <w:rFonts w:hint="default"/>
      </w:rPr>
    </w:lvl>
    <w:lvl w:ilvl="2">
      <w:start w:val="1"/>
      <w:numFmt w:val="none"/>
      <w:suff w:val="nothing"/>
      <w:lvlText w:val="%3"/>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7"/>
      <w:lvlJc w:val="left"/>
      <w:pPr>
        <w:ind w:left="680" w:firstLine="0"/>
      </w:pPr>
      <w:rPr>
        <w:rFonts w:hint="default"/>
      </w:rPr>
    </w:lvl>
    <w:lvl w:ilvl="7">
      <w:start w:val="1"/>
      <w:numFmt w:val="none"/>
      <w:suff w:val="nothing"/>
      <w:lvlText w:val="%8"/>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7" w15:restartNumberingAfterBreak="0">
    <w:nsid w:val="2154570F"/>
    <w:multiLevelType w:val="hybridMultilevel"/>
    <w:tmpl w:val="65A4C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61271F"/>
    <w:multiLevelType w:val="multilevel"/>
    <w:tmpl w:val="1446394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44DB49B0"/>
    <w:multiLevelType w:val="hybridMultilevel"/>
    <w:tmpl w:val="4C444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EE3038"/>
    <w:multiLevelType w:val="hybridMultilevel"/>
    <w:tmpl w:val="47EC9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6C0B40"/>
    <w:multiLevelType w:val="hybridMultilevel"/>
    <w:tmpl w:val="9C10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C71928"/>
    <w:multiLevelType w:val="multilevel"/>
    <w:tmpl w:val="7B32AB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A8E67AC"/>
    <w:multiLevelType w:val="hybridMultilevel"/>
    <w:tmpl w:val="0728C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0942E5"/>
    <w:multiLevelType w:val="multilevel"/>
    <w:tmpl w:val="3BC0AD6A"/>
    <w:styleLink w:val="Style1"/>
    <w:lvl w:ilvl="0">
      <w:start w:val="1"/>
      <w:numFmt w:val="decimal"/>
      <w:lvlText w:val="%1."/>
      <w:lvlJc w:val="left"/>
      <w:pPr>
        <w:tabs>
          <w:tab w:val="num" w:pos="360"/>
        </w:tabs>
        <w:ind w:left="360" w:hanging="360"/>
      </w:pPr>
      <w:rPr>
        <w:rFonts w:ascii="Arial" w:hAnsi="Arial"/>
        <w:b/>
        <w:sz w:val="24"/>
      </w:rPr>
    </w:lvl>
    <w:lvl w:ilvl="1">
      <w:start w:val="1"/>
      <w:numFmt w:val="decimal"/>
      <w:lvlText w:val="%2."/>
      <w:lvlJc w:val="left"/>
      <w:pPr>
        <w:tabs>
          <w:tab w:val="num" w:pos="1080"/>
        </w:tabs>
        <w:ind w:left="1080" w:hanging="360"/>
      </w:pPr>
      <w:rPr>
        <w:rFonts w:ascii="Arial" w:hAnsi="Arial"/>
        <w:b/>
        <w:sz w:val="24"/>
      </w:rPr>
    </w:lvl>
    <w:lvl w:ilvl="2">
      <w:start w:val="1"/>
      <w:numFmt w:val="decimal"/>
      <w:lvlText w:val="%3."/>
      <w:lvlJc w:val="right"/>
      <w:pPr>
        <w:tabs>
          <w:tab w:val="num" w:pos="1800"/>
        </w:tabs>
        <w:ind w:left="1800" w:hanging="180"/>
      </w:pPr>
      <w:rPr>
        <w:rFonts w:ascii="Arial" w:hAnsi="Arial"/>
        <w:b/>
        <w:sz w:val="24"/>
      </w:rPr>
    </w:lvl>
    <w:lvl w:ilvl="3">
      <w:start w:val="1"/>
      <w:numFmt w:val="bullet"/>
      <w:lvlText w:val=""/>
      <w:lvlJc w:val="left"/>
      <w:pPr>
        <w:tabs>
          <w:tab w:val="num" w:pos="2520"/>
        </w:tabs>
        <w:ind w:left="2520" w:hanging="360"/>
      </w:pPr>
      <w:rPr>
        <w:rFonts w:ascii="Symbol" w:hAnsi="Symbol" w:hint="default"/>
        <w:b/>
        <w:color w:val="auto"/>
        <w:sz w:val="24"/>
      </w:rPr>
    </w:lvl>
    <w:lvl w:ilvl="4">
      <w:start w:val="1"/>
      <w:numFmt w:val="bullet"/>
      <w:lvlText w:val=""/>
      <w:lvlJc w:val="left"/>
      <w:pPr>
        <w:tabs>
          <w:tab w:val="num" w:pos="3240"/>
        </w:tabs>
        <w:ind w:left="3240" w:hanging="360"/>
      </w:pPr>
      <w:rPr>
        <w:rFonts w:ascii="Symbol" w:hAnsi="Symbol" w:hint="default"/>
        <w:b/>
        <w:color w:val="auto"/>
        <w:sz w:val="24"/>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FAE7E45"/>
    <w:multiLevelType w:val="multilevel"/>
    <w:tmpl w:val="087279A0"/>
    <w:styleLink w:val="NumbLstMain"/>
    <w:lvl w:ilvl="0">
      <w:start w:val="1"/>
      <w:numFmt w:val="decimal"/>
      <w:pStyle w:val="Heading1Numb"/>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firstLine="0"/>
      </w:pPr>
      <w:rPr>
        <w:rFonts w:hint="default"/>
      </w:rPr>
    </w:lvl>
    <w:lvl w:ilvl="3">
      <w:start w:val="1"/>
      <w:numFmt w:val="decimal"/>
      <w:lvlText w:val="%1.%2.%3.%4."/>
      <w:lvlJc w:val="left"/>
      <w:pPr>
        <w:tabs>
          <w:tab w:val="num" w:pos="2211"/>
        </w:tabs>
        <w:ind w:left="2211" w:hanging="737"/>
      </w:pPr>
      <w:rPr>
        <w:rFonts w:hint="default"/>
      </w:rPr>
    </w:lvl>
    <w:lvl w:ilvl="4">
      <w:start w:val="1"/>
      <w:numFmt w:val="none"/>
      <w:lvlText w:val=""/>
      <w:lvlJc w:val="left"/>
      <w:pPr>
        <w:tabs>
          <w:tab w:val="num" w:pos="2211"/>
        </w:tabs>
        <w:ind w:left="2211" w:firstLine="0"/>
      </w:pPr>
      <w:rPr>
        <w:rFonts w:hint="default"/>
      </w:rPr>
    </w:lvl>
    <w:lvl w:ilvl="5">
      <w:start w:val="1"/>
      <w:numFmt w:val="none"/>
      <w:lvlText w:val=""/>
      <w:lvlJc w:val="left"/>
      <w:pPr>
        <w:tabs>
          <w:tab w:val="num" w:pos="2211"/>
        </w:tabs>
        <w:ind w:left="2211" w:firstLine="0"/>
      </w:pPr>
      <w:rPr>
        <w:rFonts w:hint="default"/>
      </w:rPr>
    </w:lvl>
    <w:lvl w:ilvl="6">
      <w:start w:val="1"/>
      <w:numFmt w:val="none"/>
      <w:lvlText w:val=""/>
      <w:lvlJc w:val="left"/>
      <w:pPr>
        <w:tabs>
          <w:tab w:val="num" w:pos="2211"/>
        </w:tabs>
        <w:ind w:left="2211" w:firstLine="0"/>
      </w:pPr>
      <w:rPr>
        <w:rFonts w:hint="default"/>
      </w:rPr>
    </w:lvl>
    <w:lvl w:ilvl="7">
      <w:start w:val="1"/>
      <w:numFmt w:val="none"/>
      <w:lvlText w:val=""/>
      <w:lvlJc w:val="left"/>
      <w:pPr>
        <w:tabs>
          <w:tab w:val="num" w:pos="2211"/>
        </w:tabs>
        <w:ind w:left="2211" w:firstLine="0"/>
      </w:pPr>
      <w:rPr>
        <w:rFonts w:hint="default"/>
      </w:rPr>
    </w:lvl>
    <w:lvl w:ilvl="8">
      <w:start w:val="1"/>
      <w:numFmt w:val="none"/>
      <w:lvlText w:val=""/>
      <w:lvlJc w:val="left"/>
      <w:pPr>
        <w:tabs>
          <w:tab w:val="num" w:pos="2211"/>
        </w:tabs>
        <w:ind w:left="2211" w:firstLine="0"/>
      </w:pPr>
      <w:rPr>
        <w:rFonts w:hint="default"/>
      </w:rPr>
    </w:lvl>
  </w:abstractNum>
  <w:abstractNum w:abstractNumId="16" w15:restartNumberingAfterBreak="0">
    <w:nsid w:val="508F4392"/>
    <w:multiLevelType w:val="multilevel"/>
    <w:tmpl w:val="8BE2EBC0"/>
    <w:styleLink w:val="NumbLstBullet"/>
    <w:lvl w:ilvl="0">
      <w:start w:val="1"/>
      <w:numFmt w:val="bullet"/>
      <w:pStyle w:val="Bullet1"/>
      <w:lvlText w:val=""/>
      <w:lvlJc w:val="left"/>
      <w:pPr>
        <w:tabs>
          <w:tab w:val="num" w:pos="340"/>
        </w:tabs>
        <w:ind w:left="340" w:hanging="340"/>
      </w:pPr>
      <w:rPr>
        <w:rFonts w:ascii="Symbol" w:hAnsi="Symbol" w:hint="default"/>
        <w:color w:val="auto"/>
      </w:rPr>
    </w:lvl>
    <w:lvl w:ilvl="1">
      <w:start w:val="1"/>
      <w:numFmt w:val="bullet"/>
      <w:pStyle w:val="Bullet2"/>
      <w:lvlText w:val=""/>
      <w:lvlJc w:val="left"/>
      <w:pPr>
        <w:tabs>
          <w:tab w:val="num" w:pos="680"/>
        </w:tabs>
        <w:ind w:left="680" w:hanging="340"/>
      </w:pPr>
      <w:rPr>
        <w:rFonts w:ascii="Symbol" w:hAnsi="Symbol" w:hint="default"/>
        <w:color w:val="auto"/>
      </w:rPr>
    </w:lvl>
    <w:lvl w:ilvl="2">
      <w:start w:val="1"/>
      <w:numFmt w:val="none"/>
      <w:suff w:val="nothing"/>
      <w:lvlText w:val="%3"/>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7"/>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7" w15:restartNumberingAfterBreak="0">
    <w:nsid w:val="536468D4"/>
    <w:multiLevelType w:val="hybridMultilevel"/>
    <w:tmpl w:val="D2A82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1922F0"/>
    <w:multiLevelType w:val="multilevel"/>
    <w:tmpl w:val="0809001F"/>
    <w:styleLink w:val="111111"/>
    <w:lvl w:ilvl="0">
      <w:start w:val="1"/>
      <w:numFmt w:val="decimal"/>
      <w:lvlText w:val="%1."/>
      <w:lvlJc w:val="left"/>
      <w:pPr>
        <w:tabs>
          <w:tab w:val="num" w:pos="360"/>
        </w:tabs>
        <w:ind w:left="360" w:hanging="360"/>
      </w:pPr>
      <w:rPr>
        <w:rFonts w:ascii="Arial" w:hAnsi="Arial"/>
        <w:sz w:val="2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73683C90"/>
    <w:multiLevelType w:val="hybridMultilevel"/>
    <w:tmpl w:val="2862C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82806134">
    <w:abstractNumId w:val="18"/>
  </w:num>
  <w:num w:numId="2" w16cid:durableId="476341558">
    <w:abstractNumId w:val="5"/>
  </w:num>
  <w:num w:numId="3" w16cid:durableId="404765870">
    <w:abstractNumId w:val="2"/>
  </w:num>
  <w:num w:numId="4" w16cid:durableId="786509610">
    <w:abstractNumId w:val="0"/>
  </w:num>
  <w:num w:numId="5" w16cid:durableId="518007346">
    <w:abstractNumId w:val="3"/>
  </w:num>
  <w:num w:numId="6" w16cid:durableId="1946305291">
    <w:abstractNumId w:val="1"/>
  </w:num>
  <w:num w:numId="7" w16cid:durableId="1036735134">
    <w:abstractNumId w:val="4"/>
  </w:num>
  <w:num w:numId="8" w16cid:durableId="1116174454">
    <w:abstractNumId w:val="14"/>
  </w:num>
  <w:num w:numId="9" w16cid:durableId="458258723">
    <w:abstractNumId w:val="8"/>
  </w:num>
  <w:num w:numId="10" w16cid:durableId="302153475">
    <w:abstractNumId w:val="16"/>
  </w:num>
  <w:num w:numId="11" w16cid:durableId="2021083828">
    <w:abstractNumId w:val="15"/>
  </w:num>
  <w:num w:numId="12" w16cid:durableId="677198549">
    <w:abstractNumId w:val="6"/>
  </w:num>
  <w:num w:numId="13" w16cid:durableId="791631313">
    <w:abstractNumId w:val="12"/>
  </w:num>
  <w:num w:numId="14" w16cid:durableId="2047754834">
    <w:abstractNumId w:val="11"/>
  </w:num>
  <w:num w:numId="15" w16cid:durableId="263533258">
    <w:abstractNumId w:val="13"/>
  </w:num>
  <w:num w:numId="16" w16cid:durableId="939024272">
    <w:abstractNumId w:val="17"/>
  </w:num>
  <w:num w:numId="17" w16cid:durableId="1502545420">
    <w:abstractNumId w:val="7"/>
  </w:num>
  <w:num w:numId="18" w16cid:durableId="793016441">
    <w:abstractNumId w:val="9"/>
  </w:num>
  <w:num w:numId="19" w16cid:durableId="142814459">
    <w:abstractNumId w:val="19"/>
  </w:num>
  <w:num w:numId="20" w16cid:durableId="1513183935">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noPunctuationKerning/>
  <w:characterSpacingControl w:val="doNotCompress"/>
  <w:hdrShapeDefaults>
    <o:shapedefaults v:ext="edit" spidmax="2050" fillcolor="white" stroke="f">
      <v:fill color="white"/>
      <v:stroke on="f"/>
      <v:textbox style="mso-fit-shape-to-text:t"/>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7501"/>
    <w:rsid w:val="000049BE"/>
    <w:rsid w:val="000073E9"/>
    <w:rsid w:val="00013978"/>
    <w:rsid w:val="00030F2D"/>
    <w:rsid w:val="00036D24"/>
    <w:rsid w:val="0004500C"/>
    <w:rsid w:val="00053934"/>
    <w:rsid w:val="00080650"/>
    <w:rsid w:val="000855DC"/>
    <w:rsid w:val="00093872"/>
    <w:rsid w:val="000B407B"/>
    <w:rsid w:val="000B4884"/>
    <w:rsid w:val="000E40C0"/>
    <w:rsid w:val="000E7630"/>
    <w:rsid w:val="00106779"/>
    <w:rsid w:val="001278EA"/>
    <w:rsid w:val="00130B5F"/>
    <w:rsid w:val="001406E8"/>
    <w:rsid w:val="00142911"/>
    <w:rsid w:val="001527E3"/>
    <w:rsid w:val="00152CA7"/>
    <w:rsid w:val="00162F07"/>
    <w:rsid w:val="00166BEA"/>
    <w:rsid w:val="00176073"/>
    <w:rsid w:val="001852A5"/>
    <w:rsid w:val="00185B72"/>
    <w:rsid w:val="00191C4B"/>
    <w:rsid w:val="001B7563"/>
    <w:rsid w:val="001D0852"/>
    <w:rsid w:val="001F0B22"/>
    <w:rsid w:val="001F4CB5"/>
    <w:rsid w:val="0020230A"/>
    <w:rsid w:val="00202DDF"/>
    <w:rsid w:val="00204F46"/>
    <w:rsid w:val="00211034"/>
    <w:rsid w:val="00223C26"/>
    <w:rsid w:val="0022678B"/>
    <w:rsid w:val="0024015E"/>
    <w:rsid w:val="00273BE4"/>
    <w:rsid w:val="002908F4"/>
    <w:rsid w:val="00292025"/>
    <w:rsid w:val="002B5538"/>
    <w:rsid w:val="002F4F6F"/>
    <w:rsid w:val="002F64B7"/>
    <w:rsid w:val="003102DB"/>
    <w:rsid w:val="0032225C"/>
    <w:rsid w:val="00322A42"/>
    <w:rsid w:val="003306D9"/>
    <w:rsid w:val="0033419F"/>
    <w:rsid w:val="0034285E"/>
    <w:rsid w:val="00344F70"/>
    <w:rsid w:val="0035581C"/>
    <w:rsid w:val="00357483"/>
    <w:rsid w:val="0037508E"/>
    <w:rsid w:val="003831F3"/>
    <w:rsid w:val="00390930"/>
    <w:rsid w:val="00390AFC"/>
    <w:rsid w:val="003964F9"/>
    <w:rsid w:val="003A027A"/>
    <w:rsid w:val="003A3A7D"/>
    <w:rsid w:val="003A5240"/>
    <w:rsid w:val="003A658A"/>
    <w:rsid w:val="003B0202"/>
    <w:rsid w:val="003B227B"/>
    <w:rsid w:val="003B640A"/>
    <w:rsid w:val="003C2B57"/>
    <w:rsid w:val="003C3B36"/>
    <w:rsid w:val="003D432F"/>
    <w:rsid w:val="003F4343"/>
    <w:rsid w:val="004030DB"/>
    <w:rsid w:val="004031AE"/>
    <w:rsid w:val="00405E47"/>
    <w:rsid w:val="004132D1"/>
    <w:rsid w:val="00427983"/>
    <w:rsid w:val="00447CC1"/>
    <w:rsid w:val="00464759"/>
    <w:rsid w:val="004809D4"/>
    <w:rsid w:val="00482AF5"/>
    <w:rsid w:val="00484AFF"/>
    <w:rsid w:val="004B7504"/>
    <w:rsid w:val="004F7260"/>
    <w:rsid w:val="00526A38"/>
    <w:rsid w:val="00530AFC"/>
    <w:rsid w:val="00536005"/>
    <w:rsid w:val="00552404"/>
    <w:rsid w:val="0055526A"/>
    <w:rsid w:val="005603AC"/>
    <w:rsid w:val="005634CA"/>
    <w:rsid w:val="00566038"/>
    <w:rsid w:val="005675A3"/>
    <w:rsid w:val="005766F1"/>
    <w:rsid w:val="00576CAD"/>
    <w:rsid w:val="00594C6F"/>
    <w:rsid w:val="00596CD3"/>
    <w:rsid w:val="005A0A81"/>
    <w:rsid w:val="005A7640"/>
    <w:rsid w:val="005B66B8"/>
    <w:rsid w:val="005D4AB5"/>
    <w:rsid w:val="005F4B9C"/>
    <w:rsid w:val="00613300"/>
    <w:rsid w:val="0061668F"/>
    <w:rsid w:val="00622E79"/>
    <w:rsid w:val="00626376"/>
    <w:rsid w:val="006268D2"/>
    <w:rsid w:val="00630AAD"/>
    <w:rsid w:val="00631C6D"/>
    <w:rsid w:val="00634FA4"/>
    <w:rsid w:val="006450F9"/>
    <w:rsid w:val="0065296E"/>
    <w:rsid w:val="006768D7"/>
    <w:rsid w:val="00681AA7"/>
    <w:rsid w:val="006909CB"/>
    <w:rsid w:val="006A2D7F"/>
    <w:rsid w:val="006C147F"/>
    <w:rsid w:val="006C20B4"/>
    <w:rsid w:val="006C27F5"/>
    <w:rsid w:val="006C39A6"/>
    <w:rsid w:val="006D007D"/>
    <w:rsid w:val="006D2FE9"/>
    <w:rsid w:val="006F186E"/>
    <w:rsid w:val="006F2065"/>
    <w:rsid w:val="00714B9E"/>
    <w:rsid w:val="0071795A"/>
    <w:rsid w:val="00726800"/>
    <w:rsid w:val="00754D9C"/>
    <w:rsid w:val="007760C7"/>
    <w:rsid w:val="00781443"/>
    <w:rsid w:val="007D0681"/>
    <w:rsid w:val="007D4E15"/>
    <w:rsid w:val="007D52EB"/>
    <w:rsid w:val="007E22EF"/>
    <w:rsid w:val="007F1923"/>
    <w:rsid w:val="007F5DDE"/>
    <w:rsid w:val="00811E51"/>
    <w:rsid w:val="00846F95"/>
    <w:rsid w:val="00857B2B"/>
    <w:rsid w:val="00857B71"/>
    <w:rsid w:val="00863FA1"/>
    <w:rsid w:val="008664E4"/>
    <w:rsid w:val="00877A54"/>
    <w:rsid w:val="00881FC5"/>
    <w:rsid w:val="00887691"/>
    <w:rsid w:val="00891101"/>
    <w:rsid w:val="0089483F"/>
    <w:rsid w:val="008B0BDC"/>
    <w:rsid w:val="008C24F2"/>
    <w:rsid w:val="008C78D7"/>
    <w:rsid w:val="008D07F2"/>
    <w:rsid w:val="008D3055"/>
    <w:rsid w:val="008F6118"/>
    <w:rsid w:val="0090142A"/>
    <w:rsid w:val="00911983"/>
    <w:rsid w:val="00916D3F"/>
    <w:rsid w:val="00920199"/>
    <w:rsid w:val="00923E23"/>
    <w:rsid w:val="00930C7E"/>
    <w:rsid w:val="00950E5C"/>
    <w:rsid w:val="00953086"/>
    <w:rsid w:val="00954E38"/>
    <w:rsid w:val="00961BBC"/>
    <w:rsid w:val="00961F17"/>
    <w:rsid w:val="009754CD"/>
    <w:rsid w:val="009856E5"/>
    <w:rsid w:val="00991992"/>
    <w:rsid w:val="00993882"/>
    <w:rsid w:val="009A68EC"/>
    <w:rsid w:val="009B305E"/>
    <w:rsid w:val="009B5748"/>
    <w:rsid w:val="009B6A2F"/>
    <w:rsid w:val="009C154C"/>
    <w:rsid w:val="009C2D89"/>
    <w:rsid w:val="009C4104"/>
    <w:rsid w:val="009C4443"/>
    <w:rsid w:val="009C62F3"/>
    <w:rsid w:val="009D2E5C"/>
    <w:rsid w:val="009D772F"/>
    <w:rsid w:val="009E582C"/>
    <w:rsid w:val="00A13E50"/>
    <w:rsid w:val="00A143AC"/>
    <w:rsid w:val="00A2223C"/>
    <w:rsid w:val="00A22725"/>
    <w:rsid w:val="00A26815"/>
    <w:rsid w:val="00A447DD"/>
    <w:rsid w:val="00A505F0"/>
    <w:rsid w:val="00A52251"/>
    <w:rsid w:val="00A52858"/>
    <w:rsid w:val="00A53647"/>
    <w:rsid w:val="00A55D52"/>
    <w:rsid w:val="00A61632"/>
    <w:rsid w:val="00A65721"/>
    <w:rsid w:val="00A756C9"/>
    <w:rsid w:val="00A769E8"/>
    <w:rsid w:val="00A800C1"/>
    <w:rsid w:val="00AB4F76"/>
    <w:rsid w:val="00AC3BA2"/>
    <w:rsid w:val="00AC52C4"/>
    <w:rsid w:val="00AC7501"/>
    <w:rsid w:val="00AD1AE4"/>
    <w:rsid w:val="00AD51CF"/>
    <w:rsid w:val="00AD6E9B"/>
    <w:rsid w:val="00AE0677"/>
    <w:rsid w:val="00AE5732"/>
    <w:rsid w:val="00AF7C23"/>
    <w:rsid w:val="00B06033"/>
    <w:rsid w:val="00B273B6"/>
    <w:rsid w:val="00B34B01"/>
    <w:rsid w:val="00B35F4C"/>
    <w:rsid w:val="00B55597"/>
    <w:rsid w:val="00B611D2"/>
    <w:rsid w:val="00B7399C"/>
    <w:rsid w:val="00B74915"/>
    <w:rsid w:val="00B85517"/>
    <w:rsid w:val="00B85EDB"/>
    <w:rsid w:val="00B96D8F"/>
    <w:rsid w:val="00BA1499"/>
    <w:rsid w:val="00BB79BB"/>
    <w:rsid w:val="00BC2C1C"/>
    <w:rsid w:val="00BC79E4"/>
    <w:rsid w:val="00BE7EEF"/>
    <w:rsid w:val="00C0474A"/>
    <w:rsid w:val="00C202D9"/>
    <w:rsid w:val="00C3281F"/>
    <w:rsid w:val="00C346B2"/>
    <w:rsid w:val="00C45D3F"/>
    <w:rsid w:val="00C53407"/>
    <w:rsid w:val="00C63501"/>
    <w:rsid w:val="00C67D3B"/>
    <w:rsid w:val="00C72BBA"/>
    <w:rsid w:val="00C746AB"/>
    <w:rsid w:val="00C75F9B"/>
    <w:rsid w:val="00C821A7"/>
    <w:rsid w:val="00C83206"/>
    <w:rsid w:val="00C840AC"/>
    <w:rsid w:val="00C91A29"/>
    <w:rsid w:val="00C97F57"/>
    <w:rsid w:val="00CA4730"/>
    <w:rsid w:val="00CB2EA2"/>
    <w:rsid w:val="00CB69E1"/>
    <w:rsid w:val="00CC5ADD"/>
    <w:rsid w:val="00CD7B4F"/>
    <w:rsid w:val="00CF644C"/>
    <w:rsid w:val="00CF7E6C"/>
    <w:rsid w:val="00D01C6D"/>
    <w:rsid w:val="00D21F45"/>
    <w:rsid w:val="00D279AE"/>
    <w:rsid w:val="00D37EAE"/>
    <w:rsid w:val="00D51A8D"/>
    <w:rsid w:val="00D52B03"/>
    <w:rsid w:val="00D61905"/>
    <w:rsid w:val="00D65428"/>
    <w:rsid w:val="00D84991"/>
    <w:rsid w:val="00D90DAA"/>
    <w:rsid w:val="00DA00B3"/>
    <w:rsid w:val="00DA01F3"/>
    <w:rsid w:val="00DB1FC3"/>
    <w:rsid w:val="00DC42FE"/>
    <w:rsid w:val="00DE1C11"/>
    <w:rsid w:val="00E003FA"/>
    <w:rsid w:val="00E150AE"/>
    <w:rsid w:val="00E157EF"/>
    <w:rsid w:val="00E21CA5"/>
    <w:rsid w:val="00E222BC"/>
    <w:rsid w:val="00E24E7C"/>
    <w:rsid w:val="00E35F5F"/>
    <w:rsid w:val="00E46705"/>
    <w:rsid w:val="00E56398"/>
    <w:rsid w:val="00E56ADF"/>
    <w:rsid w:val="00E60F92"/>
    <w:rsid w:val="00E624A6"/>
    <w:rsid w:val="00E724DD"/>
    <w:rsid w:val="00E92FF6"/>
    <w:rsid w:val="00EA5BCD"/>
    <w:rsid w:val="00EB7BA5"/>
    <w:rsid w:val="00EC56D8"/>
    <w:rsid w:val="00ED1FF4"/>
    <w:rsid w:val="00ED7392"/>
    <w:rsid w:val="00F056ED"/>
    <w:rsid w:val="00F111B3"/>
    <w:rsid w:val="00F16C4F"/>
    <w:rsid w:val="00F27EA9"/>
    <w:rsid w:val="00F35544"/>
    <w:rsid w:val="00F47781"/>
    <w:rsid w:val="00F515D8"/>
    <w:rsid w:val="00F64042"/>
    <w:rsid w:val="00F726A3"/>
    <w:rsid w:val="00F754AA"/>
    <w:rsid w:val="00FA297B"/>
    <w:rsid w:val="00FC1E23"/>
    <w:rsid w:val="00FD0734"/>
    <w:rsid w:val="00FD199C"/>
    <w:rsid w:val="00FE6BB0"/>
    <w:rsid w:val="00FE77E5"/>
    <w:rsid w:val="00FF0349"/>
    <w:rsid w:val="00FF1E56"/>
    <w:rsid w:val="00FF2C20"/>
    <w:rsid w:val="00FF4077"/>
    <w:rsid w:val="00FF4461"/>
    <w:rsid w:val="00FF7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v:textbox style="mso-fit-shape-to-text:t"/>
    </o:shapedefaults>
    <o:shapelayout v:ext="edit">
      <o:idmap v:ext="edit" data="2"/>
    </o:shapelayout>
  </w:shapeDefaults>
  <w:decimalSymbol w:val="."/>
  <w:listSeparator w:val=","/>
  <w14:docId w14:val="4CF8D4A8"/>
  <w15:chartTrackingRefBased/>
  <w15:docId w15:val="{2FF62202-1174-4F79-9BA7-D50C6192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4F46"/>
    <w:pPr>
      <w:spacing w:after="200"/>
    </w:pPr>
    <w:rPr>
      <w:rFonts w:ascii="Calibri" w:hAnsi="Calibri"/>
      <w:szCs w:val="24"/>
      <w:lang w:val="en-US" w:eastAsia="en-US"/>
    </w:rPr>
  </w:style>
  <w:style w:type="paragraph" w:styleId="Heading1">
    <w:name w:val="heading 1"/>
    <w:basedOn w:val="Normal"/>
    <w:next w:val="Normal"/>
    <w:qFormat/>
    <w:rsid w:val="00204F46"/>
    <w:pPr>
      <w:keepNext/>
      <w:keepLines/>
      <w:numPr>
        <w:numId w:val="9"/>
      </w:numPr>
      <w:spacing w:before="360" w:after="240"/>
      <w:contextualSpacing/>
      <w:outlineLvl w:val="0"/>
    </w:pPr>
    <w:rPr>
      <w:rFonts w:cs="Arial"/>
      <w:b/>
      <w:bCs/>
      <w:color w:val="1C437E"/>
      <w:kern w:val="32"/>
      <w:sz w:val="42"/>
      <w:szCs w:val="32"/>
      <w:lang w:val="en-GB"/>
    </w:rPr>
  </w:style>
  <w:style w:type="paragraph" w:styleId="Heading2">
    <w:name w:val="heading 2"/>
    <w:basedOn w:val="Normal"/>
    <w:next w:val="Normal"/>
    <w:link w:val="Heading2Char"/>
    <w:qFormat/>
    <w:rsid w:val="00204F46"/>
    <w:pPr>
      <w:keepNext/>
      <w:keepLines/>
      <w:numPr>
        <w:ilvl w:val="1"/>
        <w:numId w:val="9"/>
      </w:numPr>
      <w:spacing w:before="360" w:after="120"/>
      <w:contextualSpacing/>
      <w:outlineLvl w:val="1"/>
    </w:pPr>
    <w:rPr>
      <w:rFonts w:cs="Arial"/>
      <w:bCs/>
      <w:iCs/>
      <w:color w:val="1C437E"/>
      <w:sz w:val="28"/>
      <w:szCs w:val="28"/>
      <w:lang w:val="en-GB"/>
    </w:rPr>
  </w:style>
  <w:style w:type="paragraph" w:styleId="Heading3">
    <w:name w:val="heading 3"/>
    <w:basedOn w:val="Normal"/>
    <w:next w:val="Normal"/>
    <w:link w:val="Heading3Char"/>
    <w:qFormat/>
    <w:rsid w:val="00204F46"/>
    <w:pPr>
      <w:keepNext/>
      <w:keepLines/>
      <w:numPr>
        <w:ilvl w:val="2"/>
        <w:numId w:val="9"/>
      </w:numPr>
      <w:spacing w:before="240" w:after="120"/>
      <w:contextualSpacing/>
      <w:outlineLvl w:val="2"/>
    </w:pPr>
    <w:rPr>
      <w:rFonts w:cs="Arial"/>
      <w:b/>
      <w:bCs/>
      <w:color w:val="1C437E"/>
      <w:szCs w:val="26"/>
      <w:lang w:val="en-GB"/>
    </w:rPr>
  </w:style>
  <w:style w:type="paragraph" w:styleId="Heading4">
    <w:name w:val="heading 4"/>
    <w:basedOn w:val="Normal"/>
    <w:next w:val="Normal"/>
    <w:qFormat/>
    <w:rsid w:val="00204F46"/>
    <w:pPr>
      <w:keepNext/>
      <w:numPr>
        <w:ilvl w:val="3"/>
        <w:numId w:val="9"/>
      </w:numPr>
      <w:spacing w:before="240" w:after="60"/>
      <w:outlineLvl w:val="3"/>
    </w:pPr>
    <w:rPr>
      <w:rFonts w:ascii="Times New Roman" w:hAnsi="Times New Roman"/>
      <w:b/>
      <w:bCs/>
      <w:sz w:val="28"/>
      <w:szCs w:val="28"/>
    </w:rPr>
  </w:style>
  <w:style w:type="paragraph" w:styleId="Heading5">
    <w:name w:val="heading 5"/>
    <w:basedOn w:val="Normal"/>
    <w:next w:val="Normal"/>
    <w:qFormat/>
    <w:rsid w:val="00204F46"/>
    <w:pPr>
      <w:numPr>
        <w:ilvl w:val="4"/>
        <w:numId w:val="9"/>
      </w:numPr>
      <w:spacing w:before="240" w:after="60"/>
      <w:outlineLvl w:val="4"/>
    </w:pPr>
    <w:rPr>
      <w:b/>
      <w:bCs/>
      <w:i/>
      <w:iCs/>
      <w:sz w:val="26"/>
      <w:szCs w:val="26"/>
    </w:rPr>
  </w:style>
  <w:style w:type="paragraph" w:styleId="Heading6">
    <w:name w:val="heading 6"/>
    <w:basedOn w:val="Normal"/>
    <w:next w:val="Normal"/>
    <w:qFormat/>
    <w:rsid w:val="00204F46"/>
    <w:pPr>
      <w:numPr>
        <w:ilvl w:val="5"/>
        <w:numId w:val="9"/>
      </w:numPr>
      <w:spacing w:before="240" w:after="60"/>
      <w:outlineLvl w:val="5"/>
    </w:pPr>
    <w:rPr>
      <w:rFonts w:ascii="Times New Roman" w:hAnsi="Times New Roman"/>
      <w:b/>
      <w:bCs/>
      <w:sz w:val="22"/>
      <w:szCs w:val="22"/>
    </w:rPr>
  </w:style>
  <w:style w:type="paragraph" w:styleId="Heading7">
    <w:name w:val="heading 7"/>
    <w:basedOn w:val="Normal"/>
    <w:next w:val="Normal"/>
    <w:qFormat/>
    <w:rsid w:val="00204F46"/>
    <w:pPr>
      <w:numPr>
        <w:ilvl w:val="6"/>
        <w:numId w:val="9"/>
      </w:numPr>
      <w:spacing w:before="240" w:after="60"/>
      <w:outlineLvl w:val="6"/>
    </w:pPr>
    <w:rPr>
      <w:rFonts w:ascii="Times New Roman" w:hAnsi="Times New Roman"/>
      <w:sz w:val="24"/>
    </w:rPr>
  </w:style>
  <w:style w:type="paragraph" w:styleId="Heading8">
    <w:name w:val="heading 8"/>
    <w:basedOn w:val="Normal"/>
    <w:next w:val="Normal"/>
    <w:qFormat/>
    <w:rsid w:val="00204F46"/>
    <w:pPr>
      <w:numPr>
        <w:ilvl w:val="7"/>
        <w:numId w:val="9"/>
      </w:numPr>
      <w:spacing w:before="240" w:after="60"/>
      <w:outlineLvl w:val="7"/>
    </w:pPr>
    <w:rPr>
      <w:rFonts w:ascii="Times New Roman" w:hAnsi="Times New Roman"/>
      <w:i/>
      <w:iCs/>
      <w:sz w:val="24"/>
    </w:rPr>
  </w:style>
  <w:style w:type="paragraph" w:styleId="Heading9">
    <w:name w:val="heading 9"/>
    <w:basedOn w:val="Normal"/>
    <w:next w:val="Normal"/>
    <w:qFormat/>
    <w:rsid w:val="00204F46"/>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223C26"/>
    <w:pPr>
      <w:numPr>
        <w:numId w:val="1"/>
      </w:numPr>
    </w:pPr>
  </w:style>
  <w:style w:type="paragraph" w:styleId="ListBullet">
    <w:name w:val="List Bullet"/>
    <w:basedOn w:val="Normal"/>
    <w:rsid w:val="00223C26"/>
    <w:pPr>
      <w:numPr>
        <w:numId w:val="2"/>
      </w:numPr>
    </w:pPr>
  </w:style>
  <w:style w:type="paragraph" w:styleId="ListBullet3">
    <w:name w:val="List Bullet 3"/>
    <w:basedOn w:val="Normal"/>
    <w:rsid w:val="00223C26"/>
    <w:pPr>
      <w:numPr>
        <w:numId w:val="3"/>
      </w:numPr>
    </w:pPr>
  </w:style>
  <w:style w:type="paragraph" w:styleId="ListBullet5">
    <w:name w:val="List Bullet 5"/>
    <w:basedOn w:val="Normal"/>
    <w:rsid w:val="00223C26"/>
    <w:pPr>
      <w:numPr>
        <w:numId w:val="4"/>
      </w:numPr>
    </w:pPr>
  </w:style>
  <w:style w:type="paragraph" w:styleId="ListBullet2">
    <w:name w:val="List Bullet 2"/>
    <w:basedOn w:val="Normal"/>
    <w:rsid w:val="00C45D3F"/>
    <w:pPr>
      <w:numPr>
        <w:numId w:val="5"/>
      </w:numPr>
    </w:pPr>
  </w:style>
  <w:style w:type="paragraph" w:styleId="ListBullet4">
    <w:name w:val="List Bullet 4"/>
    <w:basedOn w:val="Normal"/>
    <w:rsid w:val="00C45D3F"/>
    <w:pPr>
      <w:numPr>
        <w:numId w:val="6"/>
      </w:numPr>
    </w:pPr>
  </w:style>
  <w:style w:type="paragraph" w:styleId="ListContinue">
    <w:name w:val="List Continue"/>
    <w:basedOn w:val="Normal"/>
    <w:rsid w:val="00953086"/>
    <w:pPr>
      <w:spacing w:after="120"/>
      <w:ind w:left="283"/>
    </w:pPr>
  </w:style>
  <w:style w:type="paragraph" w:styleId="ListNumber">
    <w:name w:val="List Number"/>
    <w:basedOn w:val="Normal"/>
    <w:rsid w:val="00953086"/>
    <w:pPr>
      <w:numPr>
        <w:numId w:val="7"/>
      </w:numPr>
    </w:pPr>
  </w:style>
  <w:style w:type="paragraph" w:styleId="List2">
    <w:name w:val="List 2"/>
    <w:basedOn w:val="Normal"/>
    <w:rsid w:val="00C45D3F"/>
    <w:pPr>
      <w:ind w:left="566" w:hanging="283"/>
    </w:pPr>
  </w:style>
  <w:style w:type="paragraph" w:styleId="Header">
    <w:name w:val="header"/>
    <w:basedOn w:val="Normal"/>
    <w:rsid w:val="00204F46"/>
    <w:pPr>
      <w:tabs>
        <w:tab w:val="center" w:pos="4320"/>
        <w:tab w:val="right" w:pos="8640"/>
      </w:tabs>
      <w:spacing w:after="0"/>
    </w:pPr>
  </w:style>
  <w:style w:type="paragraph" w:styleId="Footer">
    <w:name w:val="footer"/>
    <w:basedOn w:val="Normal"/>
    <w:rsid w:val="00204F46"/>
    <w:pPr>
      <w:tabs>
        <w:tab w:val="right" w:pos="9072"/>
      </w:tabs>
      <w:spacing w:after="0"/>
    </w:pPr>
    <w:rPr>
      <w:color w:val="1C437E"/>
      <w:sz w:val="16"/>
    </w:rPr>
  </w:style>
  <w:style w:type="table" w:styleId="TableGrid">
    <w:name w:val="Table Grid"/>
    <w:basedOn w:val="TableNormal"/>
    <w:uiPriority w:val="39"/>
    <w:rsid w:val="00204F46"/>
    <w:pPr>
      <w:spacing w:after="200"/>
    </w:pPr>
    <w:rPr>
      <w:color w:val="1C437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Subsection Body Text"/>
    <w:basedOn w:val="Normal"/>
    <w:link w:val="BodyTextChar"/>
    <w:rsid w:val="005634CA"/>
    <w:pPr>
      <w:widowControl w:val="0"/>
      <w:ind w:left="720"/>
      <w:jc w:val="both"/>
    </w:pPr>
    <w:rPr>
      <w:snapToGrid w:val="0"/>
      <w:color w:val="000000"/>
      <w:sz w:val="24"/>
    </w:rPr>
  </w:style>
  <w:style w:type="character" w:customStyle="1" w:styleId="BodyTextChar">
    <w:name w:val="Body Text Char"/>
    <w:aliases w:val="Subsection Body Text Char"/>
    <w:link w:val="BodyText"/>
    <w:rsid w:val="005634CA"/>
    <w:rPr>
      <w:rFonts w:ascii="Arial" w:hAnsi="Arial"/>
      <w:snapToGrid w:val="0"/>
      <w:color w:val="000000"/>
      <w:sz w:val="24"/>
      <w:szCs w:val="24"/>
      <w:lang w:val="en-GB" w:eastAsia="en-US" w:bidi="ar-SA"/>
    </w:rPr>
  </w:style>
  <w:style w:type="paragraph" w:styleId="Index1">
    <w:name w:val="index 1"/>
    <w:basedOn w:val="Normal"/>
    <w:next w:val="Normal"/>
    <w:autoRedefine/>
    <w:semiHidden/>
    <w:rsid w:val="005634CA"/>
    <w:pPr>
      <w:ind w:left="200" w:hanging="200"/>
    </w:pPr>
    <w:rPr>
      <w:rFonts w:ascii="Times New Roman" w:hAnsi="Times New Roman"/>
      <w:szCs w:val="20"/>
    </w:rPr>
  </w:style>
  <w:style w:type="paragraph" w:customStyle="1" w:styleId="TableHeaderBold">
    <w:name w:val="Table Header Bold"/>
    <w:basedOn w:val="Normal"/>
    <w:rsid w:val="001278EA"/>
    <w:pPr>
      <w:spacing w:before="120" w:after="120"/>
    </w:pPr>
    <w:rPr>
      <w:rFonts w:ascii="Univers 45 Light" w:hAnsi="Univers 45 Light"/>
      <w:b/>
      <w:bCs/>
      <w:szCs w:val="20"/>
    </w:rPr>
  </w:style>
  <w:style w:type="paragraph" w:customStyle="1" w:styleId="Tabletext">
    <w:name w:val="Table text"/>
    <w:basedOn w:val="Normal"/>
    <w:rsid w:val="001278EA"/>
    <w:pPr>
      <w:spacing w:before="120" w:after="120"/>
      <w:ind w:left="176"/>
    </w:pPr>
    <w:rPr>
      <w:sz w:val="24"/>
    </w:rPr>
  </w:style>
  <w:style w:type="paragraph" w:customStyle="1" w:styleId="MandatoryRequirementbold">
    <w:name w:val="Mandatory Requirement bold"/>
    <w:basedOn w:val="Normal"/>
    <w:rsid w:val="00A61632"/>
    <w:pPr>
      <w:spacing w:before="120" w:after="120"/>
    </w:pPr>
    <w:rPr>
      <w:rFonts w:ascii="Univers 45 Light" w:hAnsi="Univers 45 Light"/>
      <w:b/>
    </w:rPr>
  </w:style>
  <w:style w:type="paragraph" w:customStyle="1" w:styleId="TextSection">
    <w:name w:val="Text Section"/>
    <w:basedOn w:val="Normal"/>
    <w:link w:val="TextSectionChar"/>
    <w:rsid w:val="00A61632"/>
    <w:pPr>
      <w:spacing w:before="60" w:after="240"/>
      <w:ind w:left="567"/>
    </w:pPr>
    <w:rPr>
      <w:sz w:val="22"/>
    </w:rPr>
  </w:style>
  <w:style w:type="character" w:customStyle="1" w:styleId="TextSectionChar">
    <w:name w:val="Text Section Char"/>
    <w:link w:val="TextSection"/>
    <w:rsid w:val="00A61632"/>
    <w:rPr>
      <w:rFonts w:ascii="Arial" w:hAnsi="Arial"/>
      <w:sz w:val="22"/>
      <w:szCs w:val="24"/>
      <w:lang w:val="en-GB" w:eastAsia="en-US" w:bidi="ar-SA"/>
    </w:rPr>
  </w:style>
  <w:style w:type="paragraph" w:customStyle="1" w:styleId="DefaultText">
    <w:name w:val="Default Text"/>
    <w:basedOn w:val="Normal"/>
    <w:link w:val="DefaultTextChar"/>
    <w:rsid w:val="008C24F2"/>
    <w:pPr>
      <w:spacing w:line="240" w:lineRule="atLeast"/>
      <w:jc w:val="both"/>
    </w:pPr>
    <w:rPr>
      <w:rFonts w:ascii="Tms Rmn" w:hAnsi="Tms Rmn"/>
      <w:sz w:val="24"/>
    </w:rPr>
  </w:style>
  <w:style w:type="numbering" w:customStyle="1" w:styleId="Style1">
    <w:name w:val="Style1"/>
    <w:rsid w:val="00176073"/>
    <w:pPr>
      <w:numPr>
        <w:numId w:val="8"/>
      </w:numPr>
    </w:pPr>
  </w:style>
  <w:style w:type="character" w:customStyle="1" w:styleId="DefaultTextChar">
    <w:name w:val="Default Text Char"/>
    <w:link w:val="DefaultText"/>
    <w:rsid w:val="008C24F2"/>
    <w:rPr>
      <w:rFonts w:ascii="Tms Rmn" w:hAnsi="Tms Rmn"/>
      <w:sz w:val="24"/>
      <w:szCs w:val="24"/>
      <w:lang w:val="en-GB" w:eastAsia="en-GB" w:bidi="ar-SA"/>
    </w:rPr>
  </w:style>
  <w:style w:type="character" w:styleId="Hyperlink">
    <w:name w:val="Hyperlink"/>
    <w:rsid w:val="00204F46"/>
    <w:rPr>
      <w:color w:val="0000FF"/>
      <w:u w:val="single"/>
    </w:rPr>
  </w:style>
  <w:style w:type="character" w:styleId="Strong">
    <w:name w:val="Strong"/>
    <w:qFormat/>
    <w:rsid w:val="00C53407"/>
    <w:rPr>
      <w:b/>
      <w:bCs/>
    </w:rPr>
  </w:style>
  <w:style w:type="paragraph" w:customStyle="1" w:styleId="Author">
    <w:name w:val="Author"/>
    <w:basedOn w:val="Normal"/>
    <w:rsid w:val="00204F46"/>
    <w:rPr>
      <w:color w:val="1C437E"/>
    </w:rPr>
  </w:style>
  <w:style w:type="paragraph" w:customStyle="1" w:styleId="Applies">
    <w:name w:val="Applies"/>
    <w:basedOn w:val="Author"/>
    <w:rsid w:val="00204F46"/>
  </w:style>
  <w:style w:type="paragraph" w:styleId="BalloonText">
    <w:name w:val="Balloon Text"/>
    <w:basedOn w:val="Normal"/>
    <w:rsid w:val="00204F46"/>
    <w:pPr>
      <w:spacing w:after="0"/>
    </w:pPr>
    <w:rPr>
      <w:rFonts w:ascii="Tahoma" w:hAnsi="Tahoma" w:cs="Tahoma"/>
      <w:sz w:val="16"/>
      <w:szCs w:val="16"/>
    </w:rPr>
  </w:style>
  <w:style w:type="paragraph" w:customStyle="1" w:styleId="Bullet1">
    <w:name w:val="Bullet1"/>
    <w:basedOn w:val="Normal"/>
    <w:rsid w:val="00204F46"/>
    <w:pPr>
      <w:numPr>
        <w:numId w:val="10"/>
      </w:numPr>
    </w:pPr>
    <w:rPr>
      <w:lang w:val="en-GB"/>
    </w:rPr>
  </w:style>
  <w:style w:type="paragraph" w:customStyle="1" w:styleId="Bullet2">
    <w:name w:val="Bullet2"/>
    <w:basedOn w:val="Normal"/>
    <w:rsid w:val="00204F46"/>
    <w:pPr>
      <w:numPr>
        <w:ilvl w:val="1"/>
        <w:numId w:val="10"/>
      </w:numPr>
    </w:pPr>
  </w:style>
  <w:style w:type="paragraph" w:customStyle="1" w:styleId="DocDesc">
    <w:name w:val="DocDesc"/>
    <w:basedOn w:val="Normal"/>
    <w:link w:val="DocDescChar"/>
    <w:rsid w:val="00204F46"/>
    <w:pPr>
      <w:spacing w:after="240"/>
    </w:pPr>
    <w:rPr>
      <w:b/>
      <w:color w:val="1C437E"/>
      <w:sz w:val="28"/>
    </w:rPr>
  </w:style>
  <w:style w:type="paragraph" w:styleId="Revision">
    <w:name w:val="Revision"/>
    <w:basedOn w:val="DocDesc"/>
    <w:link w:val="RevisionChar"/>
    <w:rsid w:val="00204F46"/>
  </w:style>
  <w:style w:type="paragraph" w:customStyle="1" w:styleId="Classification">
    <w:name w:val="Classification"/>
    <w:basedOn w:val="Revision"/>
    <w:link w:val="ClassificationChar"/>
    <w:rsid w:val="00204F46"/>
  </w:style>
  <w:style w:type="character" w:customStyle="1" w:styleId="DocDescChar">
    <w:name w:val="DocDesc Char"/>
    <w:link w:val="DocDesc"/>
    <w:rsid w:val="00204F46"/>
    <w:rPr>
      <w:rFonts w:ascii="Calibri" w:hAnsi="Calibri"/>
      <w:b/>
      <w:color w:val="1C437E"/>
      <w:sz w:val="28"/>
      <w:szCs w:val="24"/>
      <w:lang w:val="en-US" w:eastAsia="en-US" w:bidi="ar-SA"/>
    </w:rPr>
  </w:style>
  <w:style w:type="character" w:customStyle="1" w:styleId="RevisionChar">
    <w:name w:val="Revision Char"/>
    <w:basedOn w:val="DocDescChar"/>
    <w:link w:val="Revision"/>
    <w:rsid w:val="00204F46"/>
    <w:rPr>
      <w:rFonts w:ascii="Calibri" w:hAnsi="Calibri"/>
      <w:b/>
      <w:color w:val="1C437E"/>
      <w:sz w:val="28"/>
      <w:szCs w:val="24"/>
      <w:lang w:val="en-US" w:eastAsia="en-US" w:bidi="ar-SA"/>
    </w:rPr>
  </w:style>
  <w:style w:type="character" w:customStyle="1" w:styleId="ClassificationChar">
    <w:name w:val="Classification Char"/>
    <w:basedOn w:val="RevisionChar"/>
    <w:link w:val="Classification"/>
    <w:rsid w:val="00204F46"/>
    <w:rPr>
      <w:rFonts w:ascii="Calibri" w:hAnsi="Calibri"/>
      <w:b/>
      <w:color w:val="1C437E"/>
      <w:sz w:val="28"/>
      <w:szCs w:val="24"/>
      <w:lang w:val="en-US" w:eastAsia="en-US" w:bidi="ar-SA"/>
    </w:rPr>
  </w:style>
  <w:style w:type="paragraph" w:customStyle="1" w:styleId="DocTitle">
    <w:name w:val="DocTitle"/>
    <w:basedOn w:val="Normal"/>
    <w:next w:val="DocDesc"/>
    <w:rsid w:val="00204F46"/>
    <w:pPr>
      <w:spacing w:before="360" w:after="240"/>
    </w:pPr>
    <w:rPr>
      <w:b/>
      <w:color w:val="1C437E"/>
      <w:sz w:val="72"/>
      <w:lang w:val="en-GB"/>
    </w:rPr>
  </w:style>
  <w:style w:type="paragraph" w:customStyle="1" w:styleId="DocumentInformation">
    <w:name w:val="DocumentInformation"/>
    <w:basedOn w:val="DocDesc"/>
    <w:rsid w:val="00204F46"/>
    <w:rPr>
      <w:lang w:val="en-GB"/>
    </w:rPr>
  </w:style>
  <w:style w:type="paragraph" w:customStyle="1" w:styleId="Heading1NoToC">
    <w:name w:val="Heading 1NoToC"/>
    <w:basedOn w:val="Heading1"/>
    <w:rsid w:val="00204F46"/>
    <w:pPr>
      <w:numPr>
        <w:numId w:val="0"/>
      </w:numPr>
      <w:outlineLvl w:val="9"/>
    </w:pPr>
  </w:style>
  <w:style w:type="paragraph" w:customStyle="1" w:styleId="Heading1Numb">
    <w:name w:val="Heading 1Numb"/>
    <w:basedOn w:val="Heading1"/>
    <w:next w:val="Normal"/>
    <w:rsid w:val="00204F46"/>
    <w:pPr>
      <w:numPr>
        <w:numId w:val="11"/>
      </w:numPr>
    </w:pPr>
  </w:style>
  <w:style w:type="paragraph" w:customStyle="1" w:styleId="Heading2NoToC">
    <w:name w:val="Heading 2NoToC"/>
    <w:basedOn w:val="Heading2"/>
    <w:next w:val="Normal"/>
    <w:rsid w:val="00204F46"/>
    <w:pPr>
      <w:numPr>
        <w:ilvl w:val="0"/>
        <w:numId w:val="0"/>
      </w:numPr>
      <w:outlineLvl w:val="9"/>
    </w:pPr>
  </w:style>
  <w:style w:type="paragraph" w:customStyle="1" w:styleId="HeadingNoNumberNoToc">
    <w:name w:val="HeadingNoNumberNoToc"/>
    <w:rsid w:val="00204F46"/>
    <w:pPr>
      <w:spacing w:after="240"/>
    </w:pPr>
    <w:rPr>
      <w:rFonts w:ascii="Calibri" w:hAnsi="Calibri" w:cs="Arial"/>
      <w:b/>
      <w:bCs/>
      <w:color w:val="1C437E"/>
      <w:kern w:val="32"/>
      <w:sz w:val="42"/>
      <w:szCs w:val="32"/>
      <w:lang w:val="en-US" w:eastAsia="en-US"/>
    </w:rPr>
  </w:style>
  <w:style w:type="paragraph" w:customStyle="1" w:styleId="ImageTitle">
    <w:name w:val="ImageTitle"/>
    <w:basedOn w:val="Normal"/>
    <w:rsid w:val="00204F46"/>
    <w:pPr>
      <w:spacing w:after="0"/>
    </w:pPr>
    <w:rPr>
      <w:color w:val="1C437E"/>
      <w:lang w:val="en-GB"/>
    </w:rPr>
  </w:style>
  <w:style w:type="paragraph" w:customStyle="1" w:styleId="Intro">
    <w:name w:val="Intro"/>
    <w:basedOn w:val="Normal"/>
    <w:next w:val="Normal"/>
    <w:rsid w:val="00204F46"/>
    <w:pPr>
      <w:spacing w:after="240"/>
    </w:pPr>
    <w:rPr>
      <w:sz w:val="28"/>
    </w:rPr>
  </w:style>
  <w:style w:type="paragraph" w:customStyle="1" w:styleId="IssueDate">
    <w:name w:val="IssueDate"/>
    <w:basedOn w:val="Normal"/>
    <w:rsid w:val="00204F46"/>
    <w:rPr>
      <w:color w:val="1C437E"/>
    </w:rPr>
  </w:style>
  <w:style w:type="paragraph" w:customStyle="1" w:styleId="Legal">
    <w:name w:val="Legal"/>
    <w:basedOn w:val="Normal"/>
    <w:rsid w:val="00204F46"/>
    <w:pPr>
      <w:tabs>
        <w:tab w:val="left" w:pos="567"/>
      </w:tabs>
      <w:ind w:left="567" w:hanging="567"/>
    </w:pPr>
    <w:rPr>
      <w:lang w:val="en-GB"/>
    </w:rPr>
  </w:style>
  <w:style w:type="paragraph" w:customStyle="1" w:styleId="NormalIndent1">
    <w:name w:val="NormalIndent1"/>
    <w:basedOn w:val="Normal"/>
    <w:rsid w:val="00204F46"/>
    <w:pPr>
      <w:ind w:left="340"/>
    </w:pPr>
  </w:style>
  <w:style w:type="paragraph" w:customStyle="1" w:styleId="NormalIndent2">
    <w:name w:val="NormalIndent2"/>
    <w:basedOn w:val="Normal"/>
    <w:rsid w:val="00204F46"/>
    <w:pPr>
      <w:ind w:left="680"/>
    </w:pPr>
    <w:rPr>
      <w:lang w:val="en-GB"/>
    </w:rPr>
  </w:style>
  <w:style w:type="paragraph" w:customStyle="1" w:styleId="NormalNoSpace">
    <w:name w:val="NormalNoSpace"/>
    <w:basedOn w:val="Normal"/>
    <w:next w:val="Normal"/>
    <w:link w:val="NormalNoSpaceChar"/>
    <w:rsid w:val="00204F46"/>
    <w:pPr>
      <w:tabs>
        <w:tab w:val="left" w:pos="1276"/>
      </w:tabs>
      <w:spacing w:after="0"/>
    </w:pPr>
    <w:rPr>
      <w:lang w:val="en-GB"/>
    </w:rPr>
  </w:style>
  <w:style w:type="character" w:customStyle="1" w:styleId="NormalNoSpaceChar">
    <w:name w:val="NormalNoSpace Char"/>
    <w:link w:val="NormalNoSpace"/>
    <w:locked/>
    <w:rsid w:val="00204F46"/>
    <w:rPr>
      <w:rFonts w:ascii="Calibri" w:hAnsi="Calibri"/>
      <w:szCs w:val="24"/>
      <w:lang w:val="en-GB" w:eastAsia="en-US" w:bidi="ar-SA"/>
    </w:rPr>
  </w:style>
  <w:style w:type="paragraph" w:customStyle="1" w:styleId="NumbList1">
    <w:name w:val="NumbList1"/>
    <w:basedOn w:val="Normal"/>
    <w:rsid w:val="00204F46"/>
    <w:pPr>
      <w:numPr>
        <w:numId w:val="12"/>
      </w:numPr>
    </w:pPr>
    <w:rPr>
      <w:noProof/>
      <w:lang w:val="en-GB"/>
    </w:rPr>
  </w:style>
  <w:style w:type="paragraph" w:customStyle="1" w:styleId="NumbList2">
    <w:name w:val="NumbList2"/>
    <w:basedOn w:val="Normal"/>
    <w:rsid w:val="00204F46"/>
    <w:pPr>
      <w:numPr>
        <w:ilvl w:val="1"/>
        <w:numId w:val="12"/>
      </w:numPr>
    </w:pPr>
  </w:style>
  <w:style w:type="numbering" w:customStyle="1" w:styleId="NumbLstBullet">
    <w:name w:val="NumbLstBullet"/>
    <w:rsid w:val="00204F46"/>
    <w:pPr>
      <w:numPr>
        <w:numId w:val="10"/>
      </w:numPr>
    </w:pPr>
  </w:style>
  <w:style w:type="numbering" w:customStyle="1" w:styleId="NumbLstMain">
    <w:name w:val="NumbLstMain"/>
    <w:rsid w:val="00204F46"/>
    <w:pPr>
      <w:numPr>
        <w:numId w:val="11"/>
      </w:numPr>
    </w:pPr>
  </w:style>
  <w:style w:type="numbering" w:customStyle="1" w:styleId="NumbLstNumb">
    <w:name w:val="NumbLstNumb"/>
    <w:rsid w:val="00204F46"/>
    <w:pPr>
      <w:numPr>
        <w:numId w:val="12"/>
      </w:numPr>
    </w:pPr>
  </w:style>
  <w:style w:type="character" w:styleId="PageNumber">
    <w:name w:val="page number"/>
    <w:basedOn w:val="DefaultParagraphFont"/>
    <w:rsid w:val="00204F46"/>
  </w:style>
  <w:style w:type="paragraph" w:customStyle="1" w:styleId="QuoteText">
    <w:name w:val="QuoteText"/>
    <w:basedOn w:val="Normal"/>
    <w:rsid w:val="00204F46"/>
    <w:pPr>
      <w:pBdr>
        <w:top w:val="single" w:sz="4" w:space="5" w:color="1C437E"/>
        <w:bottom w:val="single" w:sz="4" w:space="5" w:color="1C437E"/>
      </w:pBdr>
      <w:spacing w:after="120"/>
      <w:ind w:left="851" w:right="851"/>
    </w:pPr>
    <w:rPr>
      <w:color w:val="1C437E"/>
      <w:sz w:val="16"/>
    </w:rPr>
  </w:style>
  <w:style w:type="paragraph" w:customStyle="1" w:styleId="QuoteSource">
    <w:name w:val="QuoteSource"/>
    <w:basedOn w:val="QuoteText"/>
    <w:next w:val="Normal"/>
    <w:rsid w:val="00204F46"/>
    <w:rPr>
      <w:b/>
      <w:lang w:val="en-GB"/>
    </w:rPr>
  </w:style>
  <w:style w:type="character" w:customStyle="1" w:styleId="Shortcut">
    <w:name w:val="Shortcut"/>
    <w:rsid w:val="00204F46"/>
    <w:rPr>
      <w:color w:val="4099D4"/>
    </w:rPr>
  </w:style>
  <w:style w:type="paragraph" w:customStyle="1" w:styleId="Status">
    <w:name w:val="Status"/>
    <w:basedOn w:val="IssueDate"/>
    <w:rsid w:val="00204F46"/>
  </w:style>
  <w:style w:type="character" w:customStyle="1" w:styleId="StyleName">
    <w:name w:val="StyleName"/>
    <w:rsid w:val="00204F46"/>
    <w:rPr>
      <w:color w:val="469638"/>
      <w:lang w:val="en-GB"/>
    </w:rPr>
  </w:style>
  <w:style w:type="table" w:styleId="TableClassic3">
    <w:name w:val="Table Classic 3"/>
    <w:basedOn w:val="TableNormal"/>
    <w:rsid w:val="00204F46"/>
    <w:rPr>
      <w:rFonts w:ascii="Calibri" w:hAnsi="Calibri"/>
      <w:color w:val="000080"/>
      <w:sz w:val="14"/>
    </w:rPr>
    <w:tblPr>
      <w:tblStyleRowBandSize w:val="1"/>
      <w:tblBorders>
        <w:insideH w:val="single" w:sz="4" w:space="0" w:color="FFFFFF"/>
      </w:tblBorders>
      <w:tblCellMar>
        <w:top w:w="85" w:type="dxa"/>
        <w:left w:w="85" w:type="dxa"/>
        <w:bottom w:w="85" w:type="dxa"/>
        <w:right w:w="85" w:type="dxa"/>
      </w:tblCellMar>
    </w:tblPr>
    <w:tcPr>
      <w:shd w:val="solid" w:color="C0C0C0" w:fill="FFFFFF"/>
      <w:vAlign w:val="center"/>
    </w:tcPr>
    <w:tblStylePr w:type="firstRow">
      <w:pPr>
        <w:wordWrap/>
        <w:spacing w:beforeLines="0" w:before="0" w:beforeAutospacing="0" w:afterLines="0" w:after="0" w:afterAutospacing="0"/>
        <w:contextualSpacing w:val="0"/>
        <w:jc w:val="left"/>
      </w:pPr>
      <w:rPr>
        <w:rFonts w:ascii="DengXian" w:hAnsi="DengXian"/>
        <w:b/>
        <w:bCs/>
        <w:i w:val="0"/>
        <w:iCs/>
        <w:color w:val="FFFFFF"/>
        <w:sz w:val="16"/>
      </w:rPr>
      <w:tblPr/>
      <w:tcPr>
        <w:shd w:val="clear" w:color="auto" w:fill="004687"/>
      </w:tcPr>
    </w:tblStylePr>
    <w:tblStylePr w:type="lastRow">
      <w:pPr>
        <w:wordWrap/>
        <w:spacing w:beforeLines="0" w:before="0" w:beforeAutospacing="0" w:afterLines="0" w:after="0" w:afterAutospacing="0"/>
        <w:contextualSpacing w:val="0"/>
      </w:pPr>
      <w:rPr>
        <w:rFonts w:ascii="DengXian" w:hAnsi="DengXian"/>
        <w:color w:val="000080"/>
        <w:sz w:val="14"/>
      </w:rPr>
      <w:tblPr/>
      <w:tcPr>
        <w:shd w:val="clear" w:color="auto" w:fill="A0C6E9"/>
      </w:tcPr>
    </w:tblStylePr>
    <w:tblStylePr w:type="firstCol">
      <w:rPr>
        <w:rFonts w:ascii="DengXian" w:hAnsi="DengXian"/>
        <w:b w:val="0"/>
        <w:bCs/>
        <w:color w:val="004687"/>
        <w:sz w:val="14"/>
      </w:rPr>
      <w:tblPr/>
      <w:tcPr>
        <w:tcBorders>
          <w:tl2br w:val="none" w:sz="0" w:space="0" w:color="auto"/>
          <w:tr2bl w:val="none" w:sz="0" w:space="0" w:color="auto"/>
        </w:tcBorders>
      </w:tcPr>
    </w:tblStylePr>
    <w:tblStylePr w:type="band1Horz">
      <w:pPr>
        <w:wordWrap/>
        <w:spacing w:beforeLines="0" w:before="0" w:beforeAutospacing="0" w:afterLines="0" w:after="0" w:afterAutospacing="0"/>
        <w:contextualSpacing w:val="0"/>
      </w:pPr>
      <w:rPr>
        <w:rFonts w:ascii="DengXian" w:hAnsi="DengXian"/>
        <w:color w:val="004687"/>
        <w:sz w:val="14"/>
      </w:rPr>
      <w:tblPr/>
      <w:tcPr>
        <w:shd w:val="clear" w:color="auto" w:fill="A0C6E9"/>
      </w:tcPr>
    </w:tblStylePr>
    <w:tblStylePr w:type="band2Horz">
      <w:pPr>
        <w:wordWrap/>
        <w:spacing w:beforeLines="0" w:before="0" w:beforeAutospacing="0" w:afterLines="0" w:after="0" w:afterAutospacing="0"/>
        <w:contextualSpacing w:val="0"/>
      </w:pPr>
      <w:rPr>
        <w:rFonts w:ascii="DengXian" w:hAnsi="DengXian"/>
        <w:color w:val="004687"/>
        <w:sz w:val="14"/>
      </w:rPr>
      <w:tblPr/>
      <w:tcPr>
        <w:shd w:val="clear" w:color="auto" w:fill="A0C6E9"/>
      </w:tcPr>
    </w:tblStylePr>
  </w:style>
  <w:style w:type="paragraph" w:customStyle="1" w:styleId="TableHeading">
    <w:name w:val="TableHeading"/>
    <w:basedOn w:val="Normal"/>
    <w:rsid w:val="00204F46"/>
    <w:pPr>
      <w:spacing w:after="85"/>
    </w:pPr>
    <w:rPr>
      <w:b/>
      <w:color w:val="FFFFFF"/>
      <w:sz w:val="18"/>
      <w:lang w:val="en-GB"/>
    </w:rPr>
  </w:style>
  <w:style w:type="paragraph" w:customStyle="1" w:styleId="TableMidBlue">
    <w:name w:val="TableMidBlue"/>
    <w:basedOn w:val="Normal"/>
    <w:rsid w:val="00204F46"/>
    <w:pPr>
      <w:spacing w:after="85"/>
      <w:ind w:left="113" w:right="113"/>
    </w:pPr>
    <w:rPr>
      <w:b/>
      <w:color w:val="FFFFFF"/>
      <w:sz w:val="16"/>
      <w:lang w:val="en-GB"/>
    </w:rPr>
  </w:style>
  <w:style w:type="paragraph" w:customStyle="1" w:styleId="TableSource">
    <w:name w:val="TableSource"/>
    <w:basedOn w:val="Normal"/>
    <w:next w:val="Normal"/>
    <w:rsid w:val="00204F46"/>
    <w:rPr>
      <w:i/>
      <w:lang w:val="en-GB"/>
    </w:rPr>
  </w:style>
  <w:style w:type="paragraph" w:customStyle="1" w:styleId="TableText0">
    <w:name w:val="TableText"/>
    <w:basedOn w:val="Normal"/>
    <w:link w:val="TableTextChar"/>
    <w:rsid w:val="00204F46"/>
    <w:pPr>
      <w:spacing w:after="0"/>
    </w:pPr>
    <w:rPr>
      <w:bCs/>
      <w:color w:val="000080"/>
      <w:sz w:val="18"/>
      <w:lang w:val="en-GB"/>
    </w:rPr>
  </w:style>
  <w:style w:type="character" w:customStyle="1" w:styleId="TableTextChar">
    <w:name w:val="TableText Char"/>
    <w:link w:val="TableText0"/>
    <w:rsid w:val="00204F46"/>
    <w:rPr>
      <w:rFonts w:ascii="Calibri" w:hAnsi="Calibri"/>
      <w:bCs/>
      <w:color w:val="000080"/>
      <w:sz w:val="18"/>
      <w:szCs w:val="24"/>
      <w:lang w:val="en-GB" w:eastAsia="en-US" w:bidi="ar-SA"/>
    </w:rPr>
  </w:style>
  <w:style w:type="paragraph" w:customStyle="1" w:styleId="TableTitle">
    <w:name w:val="TableTitle"/>
    <w:basedOn w:val="Normal"/>
    <w:rsid w:val="00204F46"/>
    <w:pPr>
      <w:spacing w:after="0"/>
    </w:pPr>
    <w:rPr>
      <w:b/>
      <w:color w:val="1C437E"/>
      <w:lang w:val="en-GB"/>
    </w:rPr>
  </w:style>
  <w:style w:type="paragraph" w:styleId="TOC1">
    <w:name w:val="toc 1"/>
    <w:basedOn w:val="Normal"/>
    <w:next w:val="Normal"/>
    <w:autoRedefine/>
    <w:rsid w:val="00204F46"/>
    <w:pPr>
      <w:tabs>
        <w:tab w:val="right" w:leader="dot" w:pos="9061"/>
      </w:tabs>
      <w:spacing w:before="240" w:after="0"/>
    </w:pPr>
    <w:rPr>
      <w:color w:val="1C437E"/>
      <w:sz w:val="24"/>
    </w:rPr>
  </w:style>
  <w:style w:type="paragraph" w:styleId="TOC2">
    <w:name w:val="toc 2"/>
    <w:basedOn w:val="Normal"/>
    <w:next w:val="Normal"/>
    <w:autoRedefine/>
    <w:rsid w:val="00204F46"/>
    <w:pPr>
      <w:tabs>
        <w:tab w:val="right" w:leader="dot" w:pos="9061"/>
      </w:tabs>
      <w:spacing w:before="120" w:after="0"/>
      <w:ind w:left="198"/>
    </w:pPr>
  </w:style>
  <w:style w:type="paragraph" w:styleId="TOC3">
    <w:name w:val="toc 3"/>
    <w:basedOn w:val="Normal"/>
    <w:next w:val="Normal"/>
    <w:autoRedefine/>
    <w:semiHidden/>
    <w:rsid w:val="00204F46"/>
    <w:pPr>
      <w:tabs>
        <w:tab w:val="right" w:leader="dot" w:pos="9061"/>
      </w:tabs>
      <w:spacing w:after="0"/>
      <w:ind w:left="403"/>
    </w:pPr>
  </w:style>
  <w:style w:type="paragraph" w:styleId="TOC4">
    <w:name w:val="toc 4"/>
    <w:basedOn w:val="Normal"/>
    <w:next w:val="Normal"/>
    <w:autoRedefine/>
    <w:semiHidden/>
    <w:rsid w:val="00204F46"/>
    <w:pPr>
      <w:ind w:left="600"/>
    </w:pPr>
  </w:style>
  <w:style w:type="paragraph" w:styleId="TOC5">
    <w:name w:val="toc 5"/>
    <w:basedOn w:val="Normal"/>
    <w:next w:val="Normal"/>
    <w:autoRedefine/>
    <w:semiHidden/>
    <w:rsid w:val="00204F46"/>
    <w:pPr>
      <w:ind w:left="800"/>
    </w:pPr>
  </w:style>
  <w:style w:type="paragraph" w:styleId="TOC6">
    <w:name w:val="toc 6"/>
    <w:basedOn w:val="Normal"/>
    <w:next w:val="Normal"/>
    <w:autoRedefine/>
    <w:semiHidden/>
    <w:rsid w:val="00204F46"/>
    <w:pPr>
      <w:ind w:left="1000"/>
    </w:pPr>
  </w:style>
  <w:style w:type="paragraph" w:styleId="TOC7">
    <w:name w:val="toc 7"/>
    <w:basedOn w:val="Normal"/>
    <w:next w:val="Normal"/>
    <w:autoRedefine/>
    <w:semiHidden/>
    <w:rsid w:val="00204F46"/>
    <w:pPr>
      <w:ind w:left="1200"/>
    </w:pPr>
  </w:style>
  <w:style w:type="paragraph" w:styleId="TOC8">
    <w:name w:val="toc 8"/>
    <w:basedOn w:val="Normal"/>
    <w:next w:val="Normal"/>
    <w:autoRedefine/>
    <w:semiHidden/>
    <w:rsid w:val="00204F46"/>
    <w:pPr>
      <w:ind w:left="1400"/>
    </w:pPr>
  </w:style>
  <w:style w:type="paragraph" w:styleId="TOC9">
    <w:name w:val="toc 9"/>
    <w:basedOn w:val="Normal"/>
    <w:next w:val="Normal"/>
    <w:autoRedefine/>
    <w:semiHidden/>
    <w:rsid w:val="00204F46"/>
    <w:pPr>
      <w:ind w:left="1600"/>
    </w:pPr>
  </w:style>
  <w:style w:type="paragraph" w:styleId="FootnoteText">
    <w:name w:val="footnote text"/>
    <w:basedOn w:val="Normal"/>
    <w:link w:val="FootnoteTextChar"/>
    <w:rsid w:val="00C821A7"/>
    <w:rPr>
      <w:szCs w:val="20"/>
    </w:rPr>
  </w:style>
  <w:style w:type="character" w:customStyle="1" w:styleId="FootnoteTextChar">
    <w:name w:val="Footnote Text Char"/>
    <w:link w:val="FootnoteText"/>
    <w:rsid w:val="00C821A7"/>
    <w:rPr>
      <w:rFonts w:ascii="Calibri" w:hAnsi="Calibri"/>
      <w:lang w:val="en-US" w:eastAsia="en-US"/>
    </w:rPr>
  </w:style>
  <w:style w:type="character" w:styleId="FootnoteReference">
    <w:name w:val="footnote reference"/>
    <w:rsid w:val="00C821A7"/>
    <w:rPr>
      <w:vertAlign w:val="superscript"/>
    </w:rPr>
  </w:style>
  <w:style w:type="character" w:customStyle="1" w:styleId="Heading3Char">
    <w:name w:val="Heading 3 Char"/>
    <w:link w:val="Heading3"/>
    <w:rsid w:val="00920199"/>
    <w:rPr>
      <w:rFonts w:ascii="Calibri" w:hAnsi="Calibri" w:cs="Arial"/>
      <w:b/>
      <w:bCs/>
      <w:color w:val="1C437E"/>
      <w:szCs w:val="26"/>
      <w:lang w:eastAsia="en-US"/>
    </w:rPr>
  </w:style>
  <w:style w:type="paragraph" w:styleId="ListParagraph">
    <w:name w:val="List Paragraph"/>
    <w:basedOn w:val="Normal"/>
    <w:uiPriority w:val="34"/>
    <w:qFormat/>
    <w:rsid w:val="00920199"/>
    <w:pPr>
      <w:ind w:left="720"/>
    </w:pPr>
  </w:style>
  <w:style w:type="character" w:customStyle="1" w:styleId="Heading2Char">
    <w:name w:val="Heading 2 Char"/>
    <w:link w:val="Heading2"/>
    <w:rsid w:val="00A2223C"/>
    <w:rPr>
      <w:rFonts w:ascii="Calibri" w:hAnsi="Calibri" w:cs="Arial"/>
      <w:bCs/>
      <w:iCs/>
      <w:color w:val="1C437E"/>
      <w:sz w:val="28"/>
      <w:szCs w:val="28"/>
      <w:lang w:eastAsia="en-US"/>
    </w:rPr>
  </w:style>
  <w:style w:type="paragraph" w:customStyle="1" w:styleId="Default">
    <w:name w:val="Default"/>
    <w:rsid w:val="00F35544"/>
    <w:pPr>
      <w:autoSpaceDE w:val="0"/>
      <w:autoSpaceDN w:val="0"/>
      <w:adjustRightInd w:val="0"/>
    </w:pPr>
    <w:rPr>
      <w:rFonts w:ascii="Open Sans" w:hAnsi="Open Sans" w:cs="Open Sans"/>
      <w:color w:val="000000"/>
      <w:sz w:val="24"/>
      <w:szCs w:val="24"/>
      <w:lang w:eastAsia="en-US"/>
    </w:rPr>
  </w:style>
  <w:style w:type="paragraph" w:customStyle="1" w:styleId="Pa12">
    <w:name w:val="Pa12"/>
    <w:basedOn w:val="Default"/>
    <w:next w:val="Default"/>
    <w:uiPriority w:val="99"/>
    <w:rsid w:val="00F35544"/>
    <w:pPr>
      <w:spacing w:line="171" w:lineRule="atLeast"/>
    </w:pPr>
    <w:rPr>
      <w:rFonts w:cs="Times New Roman"/>
      <w:color w:val="auto"/>
    </w:rPr>
  </w:style>
  <w:style w:type="paragraph" w:customStyle="1" w:styleId="Pa14">
    <w:name w:val="Pa14"/>
    <w:basedOn w:val="Default"/>
    <w:next w:val="Default"/>
    <w:uiPriority w:val="99"/>
    <w:rsid w:val="00F35544"/>
    <w:pPr>
      <w:spacing w:line="171" w:lineRule="atLeast"/>
    </w:pPr>
    <w:rPr>
      <w:rFonts w:cs="Times New Roman"/>
      <w:color w:val="auto"/>
    </w:rPr>
  </w:style>
  <w:style w:type="paragraph" w:customStyle="1" w:styleId="Pa16">
    <w:name w:val="Pa16"/>
    <w:basedOn w:val="Default"/>
    <w:next w:val="Default"/>
    <w:uiPriority w:val="99"/>
    <w:rsid w:val="00F35544"/>
    <w:pPr>
      <w:spacing w:line="171" w:lineRule="atLeast"/>
    </w:pPr>
    <w:rPr>
      <w:rFonts w:ascii="Open Sans Light" w:hAnsi="Open Sans Light"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09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ubsidiary xmlns="59ee7e58-6d84-4128-8c4e-a33640f2aae3" xsi:nil="true"/>
    <lcf76f155ced4ddcb4097134ff3c332f xmlns="e1f69e80-fefa-4ad1-9a16-f85c648d7492">
      <Terms xmlns="http://schemas.microsoft.com/office/infopath/2007/PartnerControls"/>
    </lcf76f155ced4ddcb4097134ff3c332f>
    <PCG_x0020_Summary xmlns="59ee7e58-6d84-4128-8c4e-a33640f2aae3" xsi:nil="true"/>
    <_ip_UnifiedCompliancePolicyProperties xmlns="http://schemas.microsoft.com/sharepoint/v3" xsi:nil="true"/>
    <TaxCatchAll xmlns="59ee7e58-6d84-4128-8c4e-a33640f2aae3"/>
    <Business_x0020_Area xmlns="59ee7e58-6d84-4128-8c4e-a33640f2aae3">Distributed Energy</Business_x0020_Area>
    <Guarantor xmlns="59ee7e58-6d84-4128-8c4e-a33640f2aae3" xsi:nil="true"/>
    <Beneficiary xmlns="59ee7e58-6d84-4128-8c4e-a33640f2aae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1A3D6485460E048ADC8A2B8E7173193" ma:contentTypeVersion="29" ma:contentTypeDescription="Create a new document." ma:contentTypeScope="" ma:versionID="5c81cc1bd599902ceefda170040e8a25">
  <xsd:schema xmlns:xsd="http://www.w3.org/2001/XMLSchema" xmlns:xs="http://www.w3.org/2001/XMLSchema" xmlns:p="http://schemas.microsoft.com/office/2006/metadata/properties" xmlns:ns1="http://schemas.microsoft.com/sharepoint/v3" xmlns:ns2="e1f69e80-fefa-4ad1-9a16-f85c648d7492" xmlns:ns3="59ee7e58-6d84-4128-8c4e-a33640f2aae3" targetNamespace="http://schemas.microsoft.com/office/2006/metadata/properties" ma:root="true" ma:fieldsID="06d4d92410ffd4cd2c963c616508badd" ns1:_="" ns2:_="" ns3:_="">
    <xsd:import namespace="http://schemas.microsoft.com/sharepoint/v3"/>
    <xsd:import namespace="e1f69e80-fefa-4ad1-9a16-f85c648d7492"/>
    <xsd:import namespace="59ee7e58-6d84-4128-8c4e-a33640f2aa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3:Subsidiary" minOccurs="0"/>
                <xsd:element ref="ns3:Guarantor" minOccurs="0"/>
                <xsd:element ref="ns3:Beneficiary" minOccurs="0"/>
                <xsd:element ref="ns3:Business_x0020_Area" minOccurs="0"/>
                <xsd:element ref="ns3:PCG_x0020_Summary" minOccurs="0"/>
                <xsd:element ref="ns1:_ip_UnifiedCompliancePolicyProperties" minOccurs="0"/>
                <xsd:element ref="ns1:_ip_UnifiedCompliancePolicyUIAc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f69e80-fefa-4ad1-9a16-f85c648d74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b0fa5b73-c91b-4169-bfc8-b85bc92a64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ee7e58-6d84-4128-8c4e-a33640f2aa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ubsidiary" ma:index="20" nillable="true" ma:displayName="Subsidiary" ma:internalName="Subsidiary">
      <xsd:simpleType>
        <xsd:restriction base="dms:Text">
          <xsd:maxLength value="255"/>
        </xsd:restriction>
      </xsd:simpleType>
    </xsd:element>
    <xsd:element name="Guarantor" ma:index="21" nillable="true" ma:displayName="Company Number" ma:internalName="Guarantor">
      <xsd:simpleType>
        <xsd:restriction base="dms:Text">
          <xsd:maxLength value="255"/>
        </xsd:restriction>
      </xsd:simpleType>
    </xsd:element>
    <xsd:element name="Beneficiary" ma:index="22" nillable="true" ma:displayName="Beneficiary" ma:internalName="Beneficiary">
      <xsd:simpleType>
        <xsd:restriction base="dms:Text">
          <xsd:maxLength value="255"/>
        </xsd:restriction>
      </xsd:simpleType>
    </xsd:element>
    <xsd:element name="Business_x0020_Area" ma:index="23" nillable="true" ma:displayName="Business Area" ma:default="Distributed Energy" ma:format="Dropdown" ma:internalName="Business_x0020_Area" ma:readOnly="false">
      <xsd:simpleType>
        <xsd:restriction base="dms:Choice">
          <xsd:enumeration value="Distributed Energy"/>
          <xsd:enumeration value="Renewables"/>
          <xsd:enumeration value="Corporate"/>
          <xsd:enumeration value="Networks"/>
          <xsd:enumeration value="Customer Solutions"/>
          <xsd:enumeration value="EPMI"/>
          <xsd:enumeration value="Thermal"/>
        </xsd:restriction>
      </xsd:simpleType>
    </xsd:element>
    <xsd:element name="PCG_x0020_Summary" ma:index="24" nillable="true" ma:displayName="PCG Summary" ma:internalName="PCG_x0020_Summary">
      <xsd:simpleType>
        <xsd:restriction base="dms:Note">
          <xsd:maxLength value="255"/>
        </xsd:restriction>
      </xsd:simpleType>
    </xsd:element>
    <xsd:element name="TaxCatchAll" ma:index="28" nillable="true" ma:displayName="Taxonomy Catch All Column" ma:hidden="true" ma:list="{21a515cf-a25d-43db-86f2-44613288a50c}" ma:internalName="TaxCatchAll" ma:showField="CatchAllData" ma:web="59ee7e58-6d84-4128-8c4e-a33640f2aa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FC2F22-BBCE-4DE2-B4F2-6FC87D6D9C80}">
  <ds:schemaRefs>
    <ds:schemaRef ds:uri="http://schemas.openxmlformats.org/officeDocument/2006/bibliography"/>
  </ds:schemaRefs>
</ds:datastoreItem>
</file>

<file path=customXml/itemProps2.xml><?xml version="1.0" encoding="utf-8"?>
<ds:datastoreItem xmlns:ds="http://schemas.openxmlformats.org/officeDocument/2006/customXml" ds:itemID="{FCF0273A-EBC0-4D37-AC41-55A3ECDC2614}">
  <ds:schemaRefs>
    <ds:schemaRef ds:uri="http://schemas.microsoft.com/sharepoint/v3/contenttype/forms"/>
  </ds:schemaRefs>
</ds:datastoreItem>
</file>

<file path=customXml/itemProps3.xml><?xml version="1.0" encoding="utf-8"?>
<ds:datastoreItem xmlns:ds="http://schemas.openxmlformats.org/officeDocument/2006/customXml" ds:itemID="{FB59DF41-25F7-4BA2-B1D8-E904EBE646C8}">
  <ds:schemaRefs>
    <ds:schemaRef ds:uri="http://schemas.microsoft.com/office/2006/metadata/longProperties"/>
  </ds:schemaRefs>
</ds:datastoreItem>
</file>

<file path=customXml/itemProps4.xml><?xml version="1.0" encoding="utf-8"?>
<ds:datastoreItem xmlns:ds="http://schemas.openxmlformats.org/officeDocument/2006/customXml" ds:itemID="{A4D7BAF7-046D-45D7-AEB9-32A5751C3792}">
  <ds:schemaRefs>
    <ds:schemaRef ds:uri="http://schemas.microsoft.com/office/2006/metadata/properties"/>
    <ds:schemaRef ds:uri="http://schemas.microsoft.com/office/infopath/2007/PartnerControls"/>
    <ds:schemaRef ds:uri="http://schemas.microsoft.com/sharepoint/v3"/>
    <ds:schemaRef ds:uri="59ee7e58-6d84-4128-8c4e-a33640f2aae3"/>
    <ds:schemaRef ds:uri="e1f69e80-fefa-4ad1-9a16-f85c648d7492"/>
  </ds:schemaRefs>
</ds:datastoreItem>
</file>

<file path=customXml/itemProps5.xml><?xml version="1.0" encoding="utf-8"?>
<ds:datastoreItem xmlns:ds="http://schemas.openxmlformats.org/officeDocument/2006/customXml" ds:itemID="{75F83201-770A-4140-8545-CD324D86D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f69e80-fefa-4ad1-9a16-f85c648d7492"/>
    <ds:schemaRef ds:uri="59ee7e58-6d84-4128-8c4e-a33640f2a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Approved by: Director / Managers name here</vt:lpstr>
    </vt:vector>
  </TitlesOfParts>
  <Company>Scottish &amp; Southern Energy</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by: Director / Managers name here</dc:title>
  <dc:subject/>
  <dc:creator>pw52114</dc:creator>
  <cp:keywords/>
  <cp:lastModifiedBy>Swan, Colin</cp:lastModifiedBy>
  <cp:revision>2</cp:revision>
  <cp:lastPrinted>2023-03-22T14:46:00Z</cp:lastPrinted>
  <dcterms:created xsi:type="dcterms:W3CDTF">2023-07-21T08:17:00Z</dcterms:created>
  <dcterms:modified xsi:type="dcterms:W3CDTF">2023-07-21T08:17:00Z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0x010100B7AB88196F4313428B753A95BDAC9B49</vt:lpwstr>
  </property>
  <property fmtid="{D5CDD505-2E9C-101B-9397-08002B2CF9AE}" pid="3" name="xd_Signature">
    <vt:lpwstr/>
  </property>
  <property fmtid="{D5CDD505-2E9C-101B-9397-08002B2CF9AE}" pid="4" name="display_urn:schemas-microsoft-com:office:office#Editor">
    <vt:lpwstr>Swan, Colin</vt:lpwstr>
  </property>
  <property fmtid="{D5CDD505-2E9C-101B-9397-08002B2CF9AE}" pid="5" name="Order">
    <vt:lpwstr>179700.000000000</vt:lpwstr>
  </property>
  <property fmtid="{D5CDD505-2E9C-101B-9397-08002B2CF9AE}" pid="6" name="xd_ProgID">
    <vt:lpwstr/>
  </property>
  <property fmtid="{D5CDD505-2E9C-101B-9397-08002B2CF9AE}" pid="7" name="SharedWithUsers">
    <vt:lpwstr/>
  </property>
  <property fmtid="{D5CDD505-2E9C-101B-9397-08002B2CF9AE}" pid="8" name="_ExtendedDescription">
    <vt:lpwstr/>
  </property>
  <property fmtid="{D5CDD505-2E9C-101B-9397-08002B2CF9AE}" pid="9" name="display_urn:schemas-microsoft-com:office:office#Author">
    <vt:lpwstr>Swan, Colin</vt:lpwstr>
  </property>
  <property fmtid="{D5CDD505-2E9C-101B-9397-08002B2CF9AE}" pid="10" name="ComplianceAssetId">
    <vt:lpwstr/>
  </property>
  <property fmtid="{D5CDD505-2E9C-101B-9397-08002B2CF9AE}" pid="11" name="TemplateUrl">
    <vt:lpwstr/>
  </property>
  <property fmtid="{D5CDD505-2E9C-101B-9397-08002B2CF9AE}" pid="12" name="TriggerFlowInfo">
    <vt:lpwstr/>
  </property>
  <property fmtid="{D5CDD505-2E9C-101B-9397-08002B2CF9AE}" pid="13" name="MediaServiceImageTags">
    <vt:lpwstr/>
  </property>
</Properties>
</file>